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政协霸州市委员会</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政协霸州市委员会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政协霸州市委员会认真执行《中国人民政治协商会议章程》。其主要职能是：政治协商，民主监督，组织参加本会的各党派、团体和各界人士的委员参政议政。巩固和发展我市爱国统一战线，推进社会主义民主政治与法制建设，坚持为改革开放和社会主义现代化建设服务，促进我市重大决策的民主化、科学化。</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（二）组织委员、人民团体和有关入士进行调研、视察、参观、咨询，就我市大政方针的实施以及群众生活中的重大问题，向市委、市政府及其他有关机关、部门提出意见和建议，进行政治协商，参政议政。</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（三）对党委、政府机关及其他工作人员通过建议和批评，实行民主监督，协助其改进工作，提高工作效率，克服官僚主义，加强廉政建设。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（四）发挥政协的独特优势和特点，高举爱国主义和社会主义两面旗帜，团结各族各界人士，为维护政治安定、社会稳定服务。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（五）密切联系各方面人士，及时反映他们及其所联系的群众的意见和要求，做好反映社情民意工作。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（六）调动委员和各有关方面的积极性，充分发挥自身的专长和作用，协助和推动兴办各种有利于社会主义建设的事业。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（七）协调和处理统一战线各方面的关系和人民政协内部合作的重要事项。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（八）组织委员和各有关方面提出提案，并协助有关部门做好提案的交办、办理和答复工作。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（九）组织委员搞好自我学习，提高参政议政水平。</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（十）宣传和协助贯彻执行党和国家民族政策、宗教政策、侨务政策、知识分子政策及非公有制经济政策等。团结各族各界人士，为建设有中国特色社会主义做出贡献。</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（十一）开展同台港澳同胞、海外侨胞及各界人士的联系；开展民间外事活动，为促进祖国统一大业做出贡献。</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（十二）开展有利于发展广泛爱国统一战线文化活动，促进文化、艺术交流。</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（十三）根据统一战线组织特点，进行文史资料的征集、研究和出版工作。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（十四）联系和指导各政协工作组的工作。受廊坊市政协委托，组织驻我市的廊坊市政协委员开展活动。完成全国政协、省政协、廊坊市政协交办的各项任务。</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6"/>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vAlign w:val="center"/>
          </w:tcPr>
          <w:p>
            <w:pPr>
              <w:spacing w:line="300" w:lineRule="exact"/>
              <w:jc w:val="left"/>
              <w:outlineLvl w:val="0"/>
              <w:rPr>
                <w:rFonts w:ascii="Times New Roman" w:hAnsi="Times New Roman" w:eastAsia="宋体" w:cs="Times New Roman"/>
                <w:szCs w:val="24"/>
              </w:rPr>
            </w:pPr>
          </w:p>
        </w:tc>
        <w:tc>
          <w:tcPr>
            <w:tcW w:w="1866" w:type="dxa"/>
            <w:vMerge w:val="continue"/>
            <w:vAlign w:val="center"/>
          </w:tcPr>
          <w:p>
            <w:pPr>
              <w:spacing w:line="300" w:lineRule="exact"/>
              <w:jc w:val="left"/>
              <w:outlineLvl w:val="0"/>
              <w:rPr>
                <w:rFonts w:ascii="Times New Roman" w:hAnsi="Times New Roman" w:eastAsia="宋体" w:cs="Times New Roman"/>
                <w:szCs w:val="24"/>
              </w:rPr>
            </w:pPr>
          </w:p>
        </w:tc>
        <w:tc>
          <w:tcPr>
            <w:tcW w:w="1536" w:type="dxa"/>
            <w:vMerge w:val="continue"/>
            <w:vAlign w:val="center"/>
          </w:tcPr>
          <w:p>
            <w:pPr>
              <w:spacing w:line="300" w:lineRule="exact"/>
              <w:jc w:val="left"/>
              <w:outlineLvl w:val="0"/>
              <w:rPr>
                <w:rFonts w:ascii="Times New Roman" w:hAnsi="Times New Roman" w:eastAsia="宋体" w:cs="Times New Roman"/>
                <w:szCs w:val="24"/>
              </w:rPr>
            </w:pPr>
          </w:p>
        </w:tc>
        <w:tc>
          <w:tcPr>
            <w:tcW w:w="2642" w:type="dxa"/>
            <w:vMerge w:val="continue"/>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lang w:val="en-US" w:eastAsia="zh-CN"/>
              </w:rPr>
              <w:t>政协霸州市委员会</w:t>
            </w:r>
          </w:p>
        </w:tc>
        <w:tc>
          <w:tcPr>
            <w:tcW w:w="186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lang w:eastAsia="zh-CN"/>
              </w:rPr>
              <w:t>行政</w:t>
            </w:r>
          </w:p>
        </w:tc>
        <w:tc>
          <w:tcPr>
            <w:tcW w:w="1536"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lang w:eastAsia="zh-CN"/>
              </w:rPr>
              <w:t>正处级</w:t>
            </w:r>
          </w:p>
        </w:tc>
        <w:tc>
          <w:tcPr>
            <w:tcW w:w="2642"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lang w:eastAsia="zh-CN"/>
              </w:rPr>
              <w:t>财政拨款</w:t>
            </w: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color w:val="auto"/>
          <w:sz w:val="32"/>
          <w:szCs w:val="32"/>
          <w:lang w:val="en-US" w:eastAsia="zh-CN"/>
        </w:rPr>
        <w:t>789.46</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color w:val="auto"/>
          <w:sz w:val="32"/>
          <w:szCs w:val="32"/>
          <w:lang w:val="en-US" w:eastAsia="zh-CN"/>
        </w:rPr>
        <w:t>789.46</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财政专户管理资金收入0万元，</w:t>
      </w:r>
      <w:r>
        <w:rPr>
          <w:rFonts w:ascii="仿宋_GB2312" w:hAnsi="Times New Roman" w:eastAsia="仿宋_GB2312" w:cs="Times New Roman"/>
          <w:color w:val="auto"/>
          <w:sz w:val="32"/>
          <w:szCs w:val="32"/>
        </w:rPr>
        <w:t>上级补助收入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事业收入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万元，经营</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万元，附属单位上缴</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其他收入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上年结转0万元。</w:t>
      </w:r>
    </w:p>
    <w:p>
      <w:pPr>
        <w:ind w:firstLine="64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color w:val="auto"/>
          <w:sz w:val="32"/>
          <w:szCs w:val="32"/>
        </w:rPr>
        <w:t>收支预算总表支出栏、基本支出表、项目支出表按经济分类和支出功能分类科目编制，反映</w:t>
      </w:r>
      <w:r>
        <w:rPr>
          <w:rFonts w:hint="eastAsia" w:ascii="仿宋_GB2312" w:hAnsi="Times New Roman" w:eastAsia="仿宋_GB2312" w:cs="Times New Roman"/>
          <w:color w:val="auto"/>
          <w:sz w:val="32"/>
          <w:szCs w:val="32"/>
          <w:lang w:eastAsia="zh-CN"/>
        </w:rPr>
        <w:t>政协霸州市委员会</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年度部门预算中支出预算的总体情况。20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年本部门支出预算</w:t>
      </w:r>
      <w:r>
        <w:rPr>
          <w:rFonts w:hint="eastAsia" w:ascii="仿宋_GB2312" w:hAnsi="Times New Roman" w:eastAsia="仿宋_GB2312" w:cs="Times New Roman"/>
          <w:color w:val="auto"/>
          <w:sz w:val="32"/>
          <w:szCs w:val="32"/>
          <w:lang w:val="en-US" w:eastAsia="zh-CN"/>
        </w:rPr>
        <w:t>789.46</w:t>
      </w:r>
      <w:r>
        <w:rPr>
          <w:rFonts w:hint="eastAsia" w:ascii="仿宋_GB2312" w:hAnsi="Times New Roman" w:eastAsia="仿宋_GB2312" w:cs="Times New Roman"/>
          <w:color w:val="auto"/>
          <w:sz w:val="32"/>
          <w:szCs w:val="32"/>
        </w:rPr>
        <w:t>万元，其中：基本支出</w:t>
      </w:r>
      <w:r>
        <w:rPr>
          <w:rFonts w:hint="eastAsia" w:ascii="仿宋_GB2312" w:hAnsi="Times New Roman" w:eastAsia="仿宋_GB2312" w:cs="Times New Roman"/>
          <w:color w:val="auto"/>
          <w:sz w:val="32"/>
          <w:szCs w:val="32"/>
          <w:lang w:val="en-US" w:eastAsia="zh-CN"/>
        </w:rPr>
        <w:t>702.23</w:t>
      </w:r>
      <w:r>
        <w:rPr>
          <w:rFonts w:hint="eastAsia" w:ascii="仿宋_GB2312" w:hAnsi="Times New Roman" w:eastAsia="仿宋_GB2312" w:cs="Times New Roman"/>
          <w:color w:val="auto"/>
          <w:sz w:val="32"/>
          <w:szCs w:val="32"/>
        </w:rPr>
        <w:t>万元，包括：人员</w:t>
      </w:r>
      <w:r>
        <w:rPr>
          <w:rFonts w:hint="eastAsia" w:ascii="仿宋_GB2312" w:hAnsi="Times New Roman" w:eastAsia="仿宋_GB2312" w:cs="Times New Roman"/>
          <w:color w:val="auto"/>
          <w:sz w:val="32"/>
          <w:szCs w:val="32"/>
          <w:lang w:val="en-US" w:eastAsia="zh-CN"/>
        </w:rPr>
        <w:t>类项目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618.15</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lang w:val="en-US" w:eastAsia="zh-CN"/>
        </w:rPr>
        <w:t>运转类</w:t>
      </w:r>
      <w:r>
        <w:rPr>
          <w:rFonts w:hint="eastAsia" w:ascii="仿宋_GB2312" w:hAnsi="Times New Roman" w:eastAsia="仿宋_GB2312" w:cs="Times New Roman"/>
          <w:color w:val="auto"/>
          <w:sz w:val="32"/>
          <w:szCs w:val="32"/>
        </w:rPr>
        <w:t>公用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84.08</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运转类其他及特定目标类</w:t>
      </w:r>
      <w:r>
        <w:rPr>
          <w:rFonts w:hint="eastAsia" w:ascii="仿宋_GB2312" w:hAnsi="Times New Roman" w:eastAsia="仿宋_GB2312" w:cs="Times New Roman"/>
          <w:color w:val="auto"/>
          <w:sz w:val="32"/>
          <w:szCs w:val="32"/>
        </w:rPr>
        <w:t>项目支出</w:t>
      </w:r>
      <w:r>
        <w:rPr>
          <w:rFonts w:hint="eastAsia" w:ascii="仿宋_GB2312" w:hAnsi="Times New Roman" w:eastAsia="仿宋_GB2312" w:cs="Times New Roman"/>
          <w:color w:val="auto"/>
          <w:sz w:val="32"/>
          <w:szCs w:val="32"/>
          <w:lang w:val="en-US" w:eastAsia="zh-CN"/>
        </w:rPr>
        <w:t>87.23</w:t>
      </w:r>
      <w:r>
        <w:rPr>
          <w:rFonts w:hint="eastAsia" w:ascii="仿宋_GB2312" w:hAnsi="Times New Roman" w:eastAsia="仿宋_GB2312" w:cs="Times New Roman"/>
          <w:color w:val="auto"/>
          <w:sz w:val="32"/>
          <w:szCs w:val="32"/>
        </w:rPr>
        <w:t>万元，全部为本级</w:t>
      </w:r>
      <w:r>
        <w:rPr>
          <w:rFonts w:ascii="仿宋_GB2312" w:hAnsi="Times New Roman" w:eastAsia="仿宋_GB2312" w:cs="Times New Roman"/>
          <w:color w:val="auto"/>
          <w:sz w:val="32"/>
          <w:szCs w:val="32"/>
        </w:rPr>
        <w:t>支出，</w:t>
      </w:r>
      <w:r>
        <w:rPr>
          <w:rFonts w:hint="eastAsia" w:ascii="仿宋_GB2312" w:hAnsi="Times New Roman" w:eastAsia="仿宋_GB2312" w:cs="Times New Roman"/>
          <w:color w:val="auto"/>
          <w:sz w:val="32"/>
          <w:szCs w:val="32"/>
        </w:rPr>
        <w:t>主要为</w:t>
      </w:r>
      <w:r>
        <w:rPr>
          <w:rFonts w:hint="eastAsia" w:ascii="仿宋_GB2312" w:hAnsi="Times New Roman" w:eastAsia="仿宋_GB2312" w:cs="Times New Roman"/>
          <w:color w:val="auto"/>
          <w:sz w:val="32"/>
          <w:szCs w:val="32"/>
          <w:lang w:eastAsia="zh-CN"/>
        </w:rPr>
        <w:t>政协七届五次全会会议费</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霸州文史编印费</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参政议政调研、视察经费和政协机关干部、政协委员教育培训经费</w:t>
      </w:r>
      <w:r>
        <w:rPr>
          <w:rFonts w:hint="eastAsia" w:ascii="仿宋_GB2312" w:hAnsi="Times New Roman" w:eastAsia="仿宋_GB2312" w:cs="Times New Roman"/>
          <w:color w:val="auto"/>
          <w:sz w:val="32"/>
          <w:szCs w:val="32"/>
        </w:rPr>
        <w:t>等；上缴上</w:t>
      </w:r>
      <w:r>
        <w:rPr>
          <w:rFonts w:hint="eastAsia" w:ascii="仿宋_GB2312" w:hAnsi="Times New Roman" w:eastAsia="仿宋_GB2312" w:cs="Times New Roman"/>
          <w:sz w:val="32"/>
          <w:szCs w:val="32"/>
        </w:rPr>
        <w:t>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sz w:val="32"/>
          <w:szCs w:val="32"/>
        </w:rPr>
      </w:pPr>
      <w:r>
        <w:rPr>
          <w:rFonts w:hint="eastAsia" w:ascii="仿宋_GB2312" w:hAnsi="Times New Roman" w:eastAsia="仿宋_GB2312" w:cs="Times New Roman"/>
          <w:color w:val="000000"/>
          <w:sz w:val="32"/>
          <w:szCs w:val="32"/>
        </w:rPr>
        <w:t>20</w:t>
      </w:r>
      <w:r>
        <w:rPr>
          <w:rFonts w:ascii="仿宋_GB2312" w:hAnsi="Times New Roman" w:eastAsia="仿宋_GB2312" w:cs="Times New Roman"/>
          <w:color w:val="000000"/>
          <w:sz w:val="32"/>
          <w:szCs w:val="32"/>
        </w:rPr>
        <w:t>2</w:t>
      </w: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年预算收支安排</w:t>
      </w:r>
      <w:r>
        <w:rPr>
          <w:rFonts w:hint="eastAsia" w:ascii="仿宋_GB2312" w:hAnsi="Times New Roman" w:eastAsia="仿宋_GB2312" w:cs="Times New Roman"/>
          <w:color w:val="000000"/>
          <w:sz w:val="32"/>
          <w:szCs w:val="32"/>
          <w:lang w:val="en-US" w:eastAsia="zh-CN"/>
        </w:rPr>
        <w:t>789.46</w:t>
      </w:r>
      <w:r>
        <w:rPr>
          <w:rFonts w:hint="eastAsia" w:ascii="仿宋_GB2312" w:hAnsi="Times New Roman" w:eastAsia="仿宋_GB2312" w:cs="Times New Roman"/>
          <w:color w:val="000000"/>
          <w:sz w:val="32"/>
          <w:szCs w:val="32"/>
        </w:rPr>
        <w:t>万元，较20</w:t>
      </w:r>
      <w:r>
        <w:rPr>
          <w:rFonts w:hint="eastAsia" w:ascii="仿宋_GB2312" w:hAnsi="Times New Roman" w:eastAsia="仿宋_GB2312" w:cs="Times New Roman"/>
          <w:color w:val="000000"/>
          <w:sz w:val="32"/>
          <w:szCs w:val="32"/>
          <w:lang w:val="en-US" w:eastAsia="zh-CN"/>
        </w:rPr>
        <w:t>20</w:t>
      </w:r>
      <w:r>
        <w:rPr>
          <w:rFonts w:hint="eastAsia" w:ascii="仿宋_GB2312" w:hAnsi="Times New Roman" w:eastAsia="仿宋_GB2312" w:cs="Times New Roman"/>
          <w:color w:val="000000"/>
          <w:sz w:val="32"/>
          <w:szCs w:val="32"/>
        </w:rPr>
        <w:t>预算</w:t>
      </w:r>
      <w:r>
        <w:rPr>
          <w:rFonts w:hint="eastAsia" w:ascii="仿宋_GB2312" w:hAnsi="Times New Roman" w:eastAsia="仿宋_GB2312" w:cs="Times New Roman"/>
          <w:color w:val="auto"/>
          <w:sz w:val="32"/>
          <w:szCs w:val="32"/>
          <w:highlight w:val="none"/>
        </w:rPr>
        <w:t>增加</w:t>
      </w:r>
      <w:r>
        <w:rPr>
          <w:rFonts w:hint="eastAsia" w:ascii="仿宋_GB2312" w:hAnsi="Times New Roman" w:eastAsia="仿宋_GB2312" w:cs="Times New Roman"/>
          <w:color w:val="auto"/>
          <w:sz w:val="32"/>
          <w:szCs w:val="32"/>
          <w:highlight w:val="none"/>
          <w:lang w:val="en-US" w:eastAsia="zh-CN"/>
        </w:rPr>
        <w:t>78.34</w:t>
      </w:r>
      <w:r>
        <w:rPr>
          <w:rFonts w:hint="eastAsia" w:ascii="仿宋_GB2312" w:hAnsi="Times New Roman" w:eastAsia="仿宋_GB2312" w:cs="Times New Roman"/>
          <w:color w:val="000000"/>
          <w:sz w:val="32"/>
          <w:szCs w:val="32"/>
        </w:rPr>
        <w:t>万元，其中：基本支出</w:t>
      </w:r>
      <w:r>
        <w:rPr>
          <w:rFonts w:hint="eastAsia" w:ascii="仿宋_GB2312" w:hAnsi="Times New Roman" w:eastAsia="仿宋_GB2312" w:cs="Times New Roman"/>
          <w:color w:val="auto"/>
          <w:sz w:val="32"/>
          <w:szCs w:val="32"/>
          <w:highlight w:val="none"/>
        </w:rPr>
        <w:t>增加</w:t>
      </w:r>
      <w:r>
        <w:rPr>
          <w:rFonts w:hint="eastAsia" w:ascii="仿宋_GB2312" w:hAnsi="Times New Roman" w:eastAsia="仿宋_GB2312" w:cs="Times New Roman"/>
          <w:color w:val="auto"/>
          <w:sz w:val="32"/>
          <w:szCs w:val="32"/>
          <w:highlight w:val="none"/>
          <w:lang w:val="en-US" w:eastAsia="zh-CN"/>
        </w:rPr>
        <w:t>78.21</w:t>
      </w:r>
      <w:r>
        <w:rPr>
          <w:rFonts w:hint="eastAsia" w:ascii="仿宋_GB2312" w:hAnsi="Times New Roman" w:eastAsia="仿宋_GB2312" w:cs="Times New Roman"/>
          <w:color w:val="000000"/>
          <w:sz w:val="32"/>
          <w:szCs w:val="32"/>
        </w:rPr>
        <w:t>万元，主要为</w:t>
      </w:r>
      <w:r>
        <w:rPr>
          <w:rFonts w:hint="eastAsia" w:ascii="仿宋_GB2312" w:hAnsi="Times New Roman" w:eastAsia="仿宋_GB2312" w:cs="Times New Roman"/>
          <w:color w:val="auto"/>
          <w:sz w:val="32"/>
          <w:szCs w:val="32"/>
          <w:highlight w:val="none"/>
        </w:rPr>
        <w:t>增加</w:t>
      </w:r>
      <w:r>
        <w:rPr>
          <w:rFonts w:hint="eastAsia" w:ascii="仿宋_GB2312" w:hAnsi="Times New Roman" w:eastAsia="仿宋_GB2312" w:cs="Times New Roman"/>
          <w:color w:val="auto"/>
          <w:sz w:val="32"/>
          <w:szCs w:val="32"/>
          <w:highlight w:val="none"/>
          <w:lang w:eastAsia="zh-CN"/>
        </w:rPr>
        <w:t>工资福利支出和对个人家庭补助支出</w:t>
      </w:r>
      <w:r>
        <w:rPr>
          <w:rFonts w:hint="eastAsia" w:ascii="仿宋_GB2312" w:hAnsi="Times New Roman" w:eastAsia="仿宋_GB2312" w:cs="Times New Roman"/>
          <w:color w:val="000000"/>
          <w:sz w:val="32"/>
          <w:szCs w:val="32"/>
        </w:rPr>
        <w:t>；项目支出</w:t>
      </w:r>
      <w:r>
        <w:rPr>
          <w:rFonts w:hint="eastAsia" w:ascii="仿宋_GB2312" w:hAnsi="Times New Roman" w:eastAsia="仿宋_GB2312" w:cs="Times New Roman"/>
          <w:color w:val="auto"/>
          <w:sz w:val="32"/>
          <w:szCs w:val="32"/>
          <w:highlight w:val="none"/>
          <w:lang w:eastAsia="zh-CN"/>
        </w:rPr>
        <w:t>增加</w:t>
      </w:r>
      <w:r>
        <w:rPr>
          <w:rFonts w:hint="eastAsia" w:ascii="仿宋_GB2312" w:hAnsi="Times New Roman" w:eastAsia="仿宋_GB2312" w:cs="Times New Roman"/>
          <w:color w:val="auto"/>
          <w:sz w:val="32"/>
          <w:szCs w:val="32"/>
          <w:highlight w:val="none"/>
          <w:lang w:val="en-US" w:eastAsia="zh-CN"/>
        </w:rPr>
        <w:t>0.13</w:t>
      </w:r>
      <w:r>
        <w:rPr>
          <w:rFonts w:hint="eastAsia"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000000"/>
          <w:sz w:val="32"/>
          <w:szCs w:val="32"/>
        </w:rPr>
        <w:t>，主要为</w:t>
      </w:r>
      <w:r>
        <w:rPr>
          <w:rFonts w:hint="eastAsia" w:ascii="仿宋_GB2312" w:hAnsi="Times New Roman" w:eastAsia="仿宋_GB2312" w:cs="Times New Roman"/>
          <w:color w:val="auto"/>
          <w:sz w:val="32"/>
          <w:szCs w:val="32"/>
          <w:highlight w:val="none"/>
          <w:lang w:eastAsia="zh-CN"/>
        </w:rPr>
        <w:t>增加政协七届五次全会会议费</w:t>
      </w:r>
      <w:r>
        <w:rPr>
          <w:rFonts w:hint="eastAsia" w:ascii="仿宋_GB2312" w:hAnsi="Times New Roman" w:eastAsia="仿宋_GB2312" w:cs="Times New Roman"/>
          <w:color w:val="auto"/>
          <w:sz w:val="32"/>
          <w:szCs w:val="32"/>
          <w:highlight w:val="none"/>
        </w:rPr>
        <w:t>项目支出</w:t>
      </w:r>
      <w:r>
        <w:rPr>
          <w:rFonts w:hint="eastAsia" w:ascii="仿宋_GB2312" w:hAnsi="Times New Roman" w:eastAsia="仿宋_GB2312" w:cs="Times New Roman"/>
          <w:color w:val="000000"/>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84.08</w:t>
      </w:r>
      <w:r>
        <w:rPr>
          <w:rFonts w:hint="eastAsia" w:ascii="仿宋_GB2312" w:hAnsi="Times New Roman" w:eastAsia="仿宋_GB2312" w:cs="Times New Roman"/>
          <w:sz w:val="32"/>
          <w:szCs w:val="32"/>
        </w:rPr>
        <w:t>万元，主要用于办公区的日常维修、办公用房水电费、办公用房取暖费、办公及印刷费，邮电费、差旅费、</w:t>
      </w:r>
      <w:r>
        <w:rPr>
          <w:rFonts w:hint="eastAsia" w:ascii="仿宋_GB2312" w:hAnsi="Times New Roman" w:eastAsia="仿宋_GB2312" w:cs="Times New Roman"/>
          <w:sz w:val="32"/>
          <w:szCs w:val="32"/>
          <w:lang w:eastAsia="zh-CN"/>
        </w:rPr>
        <w:t>工会经费</w:t>
      </w:r>
      <w:r>
        <w:rPr>
          <w:rFonts w:hint="eastAsia" w:ascii="仿宋_GB2312" w:hAnsi="Times New Roman" w:eastAsia="仿宋_GB2312" w:cs="Times New Roman"/>
          <w:sz w:val="32"/>
          <w:szCs w:val="32"/>
        </w:rPr>
        <w:t>、福利费、</w:t>
      </w:r>
      <w:bookmarkStart w:id="2" w:name="_GoBack"/>
      <w:bookmarkEnd w:id="2"/>
      <w:r>
        <w:rPr>
          <w:rFonts w:hint="eastAsia" w:ascii="仿宋_GB2312" w:hAnsi="Times New Roman" w:eastAsia="仿宋_GB2312" w:cs="Times New Roman"/>
          <w:sz w:val="32"/>
          <w:szCs w:val="32"/>
        </w:rPr>
        <w:t>一般设备购置费、办公用房物业管理费、</w:t>
      </w:r>
      <w:r>
        <w:rPr>
          <w:rFonts w:hint="eastAsia" w:ascii="仿宋_GB2312" w:hAnsi="Times New Roman" w:eastAsia="仿宋_GB2312" w:cs="Times New Roman"/>
          <w:sz w:val="32"/>
          <w:szCs w:val="32"/>
          <w:lang w:eastAsia="zh-CN"/>
        </w:rPr>
        <w:t>公务接待费、</w:t>
      </w:r>
      <w:r>
        <w:rPr>
          <w:rFonts w:hint="eastAsia" w:ascii="仿宋_GB2312" w:hAnsi="Times New Roman" w:eastAsia="仿宋_GB2312" w:cs="Times New Roman"/>
          <w:sz w:val="32"/>
          <w:szCs w:val="32"/>
        </w:rPr>
        <w:t>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b/>
          <w:color w:val="FF0000"/>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8.04</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7.50</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7.5</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0.54</w:t>
      </w:r>
      <w:r>
        <w:rPr>
          <w:rFonts w:hint="eastAsia" w:ascii="仿宋_GB2312" w:hAnsi="Times New Roman" w:eastAsia="仿宋_GB2312" w:cs="Times New Roman"/>
          <w:sz w:val="32"/>
          <w:szCs w:val="32"/>
        </w:rPr>
        <w:t>万元，较20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年“三公”经费</w:t>
      </w:r>
      <w:r>
        <w:rPr>
          <w:rFonts w:hint="eastAsia" w:ascii="仿宋_GB2312" w:hAnsi="Times New Roman" w:eastAsia="仿宋_GB2312" w:cs="Times New Roman"/>
          <w:sz w:val="32"/>
          <w:szCs w:val="32"/>
          <w:highlight w:val="none"/>
        </w:rPr>
        <w:t>持平，无增减变化</w:t>
      </w:r>
      <w:r>
        <w:rPr>
          <w:rFonts w:hint="eastAsia" w:ascii="仿宋_GB2312" w:hAnsi="Times New Roman" w:eastAsia="仿宋_GB2312" w:cs="Times New Roman"/>
          <w:sz w:val="32"/>
          <w:szCs w:val="32"/>
          <w:highlight w:val="none"/>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0"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2021年是“十四五”规划的开局之年,也是两个百年目标交汇与转换之年，做好各项工作意义重大。今年市政协工作的总体要求是：在中共霸州市委的坚强领导下，坚持以习近平新时代中国特色社会主义思想为指导，深入贯彻落实中共十九大和十九届二中、三中、四中、五中全会精神，认真践行习近平总书记关于加强和改进人民政协工作的重要思想，按照市委提出的具体工作部署，坚持团结和民主两大主题，继续以履职制度再规范、履职质量再提升为抓手，积极发挥政治协商、民主监督、参政议政职能，为新时代加快建设经济强市、生态新城、美丽霸州作出新贡献。</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ascii="仿宋_GB2312" w:hAnsi="Times New Roman" w:eastAsia="仿宋_GB2312" w:cs="Times New Roman"/>
          <w:sz w:val="32"/>
          <w:szCs w:val="32"/>
        </w:rPr>
        <w:t>、政协会议</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绩效目标：组织召开政协七届五次全体会议，听取并审议政协常委会工作报告、提案工作报告，列席人大会议，听取讨论政府工作报告及其他报告，通过大会决议，计划接收合并后提案100余条。</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绩效指标：接收提案建议、意见数量大于100条；提案答复率达到100%；参会人数达到220人以上。</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ascii="仿宋_GB2312" w:hAnsi="Times New Roman" w:eastAsia="仿宋_GB2312" w:cs="Times New Roman"/>
          <w:sz w:val="32"/>
          <w:szCs w:val="32"/>
        </w:rPr>
        <w:t>、参政议政调研</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绩效目标：围绕市委、市政府中心工作，通过调研课题就党和政府关心和关注的问题，提出客观、有价值、有影响的意见建议，促进决策民主化和科学化。针对民营企业发展面临的困难和问题，加强协调，力争破解难题多办实事。</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绩效指标：重点课题和专项调研完成数量达到3项；调研结果和政策建议为市委和政府科学决策提供可靠依据的调研数量达到2项；决策部门对调研成果满意、较满意占调研数量的比率达到100%。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ascii="仿宋_GB2312" w:hAnsi="Times New Roman" w:eastAsia="仿宋_GB2312" w:cs="Times New Roman"/>
          <w:sz w:val="32"/>
          <w:szCs w:val="32"/>
        </w:rPr>
        <w:t>、霸州文史编辑出版印刷</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绩效目标：编制出版文史书籍3000余册，传承优秀传统文化，弘扬时代精神。</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绩效指标：文史资料出版印刷数量达到3000册；文史资料收集整理完成占年初计划的比率达到100%；有效传承和弘扬优秀传统文化。</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ascii="仿宋_GB2312" w:hAnsi="Times New Roman" w:eastAsia="仿宋_GB2312" w:cs="Times New Roman"/>
          <w:sz w:val="32"/>
          <w:szCs w:val="32"/>
        </w:rPr>
        <w:t>、机关干部、委员培训学习</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绩效目标：组织50余名政协机关干部、委员参加教育培训学习，加强党性教育，促进政协自身建设质量更加扎实，不断提高学习与履职实践相结合的能力。订阅《文史精化》、《乡音》240余册，促进委员交流学习，不断提高履职水平。</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绩效指标：机关干部、委员培训参加人次达到45人以上；订阅《文史精华》、《乡音》数量240册以上；通过培训学习，履职水平得到显著提高；实际培训次数占计划培训次数的比率达到100%。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ascii="仿宋_GB2312" w:hAnsi="Times New Roman" w:eastAsia="仿宋_GB2312" w:cs="Times New Roman"/>
          <w:sz w:val="32"/>
          <w:szCs w:val="32"/>
        </w:rPr>
        <w:t>完善制度建设。按照省市有关意见精神，建立健全部门预算绩效管理体系，提高单位预算编制质量，科学设定整体绩效目标和分类目标。将评价结果纳入各部门年度考核内容，通过建立全方位、全过程、全覆盖的预算绩效管理，努力实现预算和绩效管理一体化。</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ascii="仿宋_GB2312" w:hAnsi="Times New Roman" w:eastAsia="仿宋_GB2312" w:cs="Times New Roman"/>
          <w:sz w:val="32"/>
          <w:szCs w:val="32"/>
        </w:rPr>
        <w:t xml:space="preserve">加强支出管理。按照财政预算管理相关规定和专项资金管理办法，督促本单位各部门按照政协年度工作要点，编细编实部门年度经费预算。加大对各部门预算经费支出进度的调控管理，及时向各部门反馈各部门经费使用情况，对重点经费使用实行全程监控，按预算计划确定支出进度。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ascii="仿宋_GB2312" w:hAnsi="Times New Roman" w:eastAsia="仿宋_GB2312" w:cs="Times New Roman"/>
          <w:sz w:val="32"/>
          <w:szCs w:val="32"/>
        </w:rPr>
        <w:t>加强绩效运行监控。按要求对纳入绩效自评的专项项目资金，开展预算绩效运行监控工作，加强项目经费支出管理，严格落实中央八项规定实施细则和省市实施办法，严格执行财经纪律和经费管理办法，对评价中发现的问题及时整改，调整优化支出结构，确保完成项目设定的产出指标和绩效指标，提高财政资金使用效益。</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ascii="仿宋_GB2312" w:hAnsi="Times New Roman" w:eastAsia="仿宋_GB2312" w:cs="Times New Roman"/>
          <w:sz w:val="32"/>
          <w:szCs w:val="32"/>
        </w:rPr>
        <w:t>做好绩效自评。根据预算绩效管理要求，全面规范绩效自评工作，严格预算执行管理、推进绩效评价工作，推进预决算信息公开。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ascii="仿宋_GB2312" w:hAnsi="Times New Roman" w:eastAsia="仿宋_GB2312" w:cs="Times New Roman"/>
          <w:sz w:val="32"/>
          <w:szCs w:val="32"/>
        </w:rPr>
        <w:t>规范财务资产管理。建立健全财务管理制度，严肃财经纪律，严格执行预算管理，杜绝违纪违法现象发生。</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ascii="仿宋_GB2312" w:hAnsi="Times New Roman" w:eastAsia="仿宋_GB2312" w:cs="Times New Roman"/>
          <w:sz w:val="32"/>
          <w:szCs w:val="32"/>
        </w:rPr>
        <w:t>加强内部监督。围绕制度建设、职责分工等方面逐步建立绩效预算管理工作保障体系，加强内部监督，部门协调联动。</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ascii="仿宋_GB2312" w:hAnsi="Times New Roman" w:eastAsia="仿宋_GB2312" w:cs="Times New Roman"/>
          <w:sz w:val="32"/>
          <w:szCs w:val="32"/>
        </w:rPr>
        <w:t>加强宣传培训调研等工作。抓好新《会计法》的贯彻落实。根据新《会计法》精神和省市财政的具体要求，做好宣传贯彻、修订完善配套规章制度、后续衔接等有关工作。加强人员培训，提高本部门职工业务素质；加强调研，提出优化财政资金配置、提高资金使用效益的意见；加大宣传力度，强化预算绩效管理意识，促进预算绩效管理水平进一步提升。</w:t>
      </w:r>
    </w:p>
    <w:p>
      <w:pPr>
        <w:numPr>
          <w:ilvl w:val="0"/>
          <w:numId w:val="1"/>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6"/>
        <w:tblW w:w="12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34"/>
        <w:gridCol w:w="1680"/>
        <w:gridCol w:w="2536"/>
        <w:gridCol w:w="849"/>
        <w:gridCol w:w="2380"/>
        <w:gridCol w:w="705"/>
        <w:gridCol w:w="633"/>
        <w:gridCol w:w="667"/>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68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53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84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38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005"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54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34" w:type="dxa"/>
            <w:vMerge w:val="continue"/>
            <w:tcBorders>
              <w:tl2br w:val="nil"/>
              <w:tr2bl w:val="nil"/>
            </w:tcBorders>
            <w:vAlign w:val="center"/>
          </w:tcPr>
          <w:p/>
        </w:tc>
        <w:tc>
          <w:tcPr>
            <w:tcW w:w="1680" w:type="dxa"/>
            <w:vMerge w:val="continue"/>
            <w:tcBorders>
              <w:tl2br w:val="nil"/>
              <w:tr2bl w:val="nil"/>
            </w:tcBorders>
            <w:vAlign w:val="center"/>
          </w:tcPr>
          <w:p/>
        </w:tc>
        <w:tc>
          <w:tcPr>
            <w:tcW w:w="2536" w:type="dxa"/>
            <w:vMerge w:val="continue"/>
            <w:tcBorders>
              <w:tl2br w:val="nil"/>
              <w:tr2bl w:val="nil"/>
            </w:tcBorders>
            <w:vAlign w:val="center"/>
          </w:tcPr>
          <w:p/>
        </w:tc>
        <w:tc>
          <w:tcPr>
            <w:tcW w:w="849" w:type="dxa"/>
            <w:vMerge w:val="continue"/>
            <w:tcBorders>
              <w:tl2br w:val="nil"/>
              <w:tr2bl w:val="nil"/>
            </w:tcBorders>
            <w:vAlign w:val="center"/>
          </w:tcPr>
          <w:p/>
        </w:tc>
        <w:tc>
          <w:tcPr>
            <w:tcW w:w="2380" w:type="dxa"/>
            <w:vMerge w:val="continue"/>
            <w:tcBorders>
              <w:tl2br w:val="nil"/>
              <w:tr2bl w:val="nil"/>
            </w:tcBorders>
            <w:vAlign w:val="center"/>
          </w:tcPr>
          <w:p/>
        </w:tc>
        <w:tc>
          <w:tcPr>
            <w:tcW w:w="70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3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549"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34" w:type="dxa"/>
            <w:vMerge w:val="restart"/>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部门产出</w:t>
            </w:r>
          </w:p>
        </w:tc>
        <w:tc>
          <w:tcPr>
            <w:tcW w:w="1680"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数量指标</w:t>
            </w:r>
          </w:p>
        </w:tc>
        <w:tc>
          <w:tcPr>
            <w:tcW w:w="2536"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接收提案建议、意见数量（条）</w:t>
            </w:r>
          </w:p>
        </w:tc>
        <w:tc>
          <w:tcPr>
            <w:tcW w:w="849"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10</w:t>
            </w:r>
          </w:p>
        </w:tc>
        <w:tc>
          <w:tcPr>
            <w:tcW w:w="2380"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接收提案建议、意见数量</w:t>
            </w:r>
          </w:p>
        </w:tc>
        <w:tc>
          <w:tcPr>
            <w:tcW w:w="705"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w:t>
            </w:r>
          </w:p>
        </w:tc>
        <w:tc>
          <w:tcPr>
            <w:tcW w:w="633"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100.00</w:t>
            </w:r>
          </w:p>
        </w:tc>
        <w:tc>
          <w:tcPr>
            <w:tcW w:w="667"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条</w:t>
            </w:r>
          </w:p>
        </w:tc>
        <w:tc>
          <w:tcPr>
            <w:tcW w:w="1549"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34" w:type="dxa"/>
            <w:vMerge w:val="continue"/>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p>
        </w:tc>
        <w:tc>
          <w:tcPr>
            <w:tcW w:w="1680"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数量指标</w:t>
            </w:r>
          </w:p>
        </w:tc>
        <w:tc>
          <w:tcPr>
            <w:tcW w:w="2536"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调研成果采纳数量（项）</w:t>
            </w:r>
          </w:p>
        </w:tc>
        <w:tc>
          <w:tcPr>
            <w:tcW w:w="849"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15</w:t>
            </w:r>
          </w:p>
        </w:tc>
        <w:tc>
          <w:tcPr>
            <w:tcW w:w="2380"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调研结果和政策建议为市委和政府科学决策提供可靠依据</w:t>
            </w:r>
          </w:p>
        </w:tc>
        <w:tc>
          <w:tcPr>
            <w:tcW w:w="705"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w:t>
            </w:r>
          </w:p>
        </w:tc>
        <w:tc>
          <w:tcPr>
            <w:tcW w:w="633"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3.00</w:t>
            </w:r>
          </w:p>
        </w:tc>
        <w:tc>
          <w:tcPr>
            <w:tcW w:w="667"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项</w:t>
            </w:r>
          </w:p>
        </w:tc>
        <w:tc>
          <w:tcPr>
            <w:tcW w:w="1549"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34" w:type="dxa"/>
            <w:vMerge w:val="continue"/>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p>
        </w:tc>
        <w:tc>
          <w:tcPr>
            <w:tcW w:w="1680"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数量指标</w:t>
            </w:r>
          </w:p>
        </w:tc>
        <w:tc>
          <w:tcPr>
            <w:tcW w:w="2536"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课题和调研完成数量（项）</w:t>
            </w:r>
          </w:p>
        </w:tc>
        <w:tc>
          <w:tcPr>
            <w:tcW w:w="849"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15</w:t>
            </w:r>
          </w:p>
        </w:tc>
        <w:tc>
          <w:tcPr>
            <w:tcW w:w="2380"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重点课题和专项调研完成数量</w:t>
            </w:r>
          </w:p>
        </w:tc>
        <w:tc>
          <w:tcPr>
            <w:tcW w:w="705"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w:t>
            </w:r>
          </w:p>
        </w:tc>
        <w:tc>
          <w:tcPr>
            <w:tcW w:w="633"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3.00</w:t>
            </w:r>
          </w:p>
        </w:tc>
        <w:tc>
          <w:tcPr>
            <w:tcW w:w="667"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项</w:t>
            </w:r>
          </w:p>
        </w:tc>
        <w:tc>
          <w:tcPr>
            <w:tcW w:w="1549"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34" w:type="dxa"/>
            <w:vMerge w:val="continue"/>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p>
        </w:tc>
        <w:tc>
          <w:tcPr>
            <w:tcW w:w="1680"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质量指标</w:t>
            </w:r>
          </w:p>
        </w:tc>
        <w:tc>
          <w:tcPr>
            <w:tcW w:w="2536"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参会人员参与率（%）</w:t>
            </w:r>
          </w:p>
        </w:tc>
        <w:tc>
          <w:tcPr>
            <w:tcW w:w="849"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10</w:t>
            </w:r>
          </w:p>
        </w:tc>
        <w:tc>
          <w:tcPr>
            <w:tcW w:w="2380"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参会人员实际参与人数占参会人数的比率</w:t>
            </w:r>
          </w:p>
        </w:tc>
        <w:tc>
          <w:tcPr>
            <w:tcW w:w="705"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w:t>
            </w:r>
          </w:p>
        </w:tc>
        <w:tc>
          <w:tcPr>
            <w:tcW w:w="633"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90.00</w:t>
            </w:r>
          </w:p>
        </w:tc>
        <w:tc>
          <w:tcPr>
            <w:tcW w:w="667"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百分比</w:t>
            </w:r>
          </w:p>
        </w:tc>
        <w:tc>
          <w:tcPr>
            <w:tcW w:w="1549"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34" w:type="dxa"/>
            <w:vMerge w:val="restart"/>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部门</w:t>
            </w:r>
            <w:r>
              <w:rPr>
                <w:rFonts w:hint="eastAsia" w:ascii="方正书宋_GBK" w:eastAsia="方正书宋_GBK"/>
                <w:sz w:val="18"/>
                <w:szCs w:val="18"/>
                <w:lang w:eastAsia="zh-CN"/>
              </w:rPr>
              <w:t>效果</w:t>
            </w:r>
          </w:p>
        </w:tc>
        <w:tc>
          <w:tcPr>
            <w:tcW w:w="1680"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社会效益指标</w:t>
            </w:r>
          </w:p>
        </w:tc>
        <w:tc>
          <w:tcPr>
            <w:tcW w:w="2536"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提升综合履职水平</w:t>
            </w:r>
          </w:p>
        </w:tc>
        <w:tc>
          <w:tcPr>
            <w:tcW w:w="849"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13</w:t>
            </w:r>
          </w:p>
        </w:tc>
        <w:tc>
          <w:tcPr>
            <w:tcW w:w="2380"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eastAsia" w:ascii="方正书宋_GBK" w:eastAsia="方正书宋_GBK"/>
                <w:sz w:val="18"/>
                <w:szCs w:val="18"/>
                <w:lang w:eastAsia="zh-CN"/>
              </w:rPr>
              <w:t>通过培训学习，履职水平得到显著提高。</w:t>
            </w:r>
          </w:p>
        </w:tc>
        <w:tc>
          <w:tcPr>
            <w:tcW w:w="705"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文字描述</w:t>
            </w:r>
          </w:p>
        </w:tc>
        <w:tc>
          <w:tcPr>
            <w:tcW w:w="633"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p>
        </w:tc>
        <w:tc>
          <w:tcPr>
            <w:tcW w:w="667"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显著提升</w:t>
            </w:r>
          </w:p>
        </w:tc>
        <w:tc>
          <w:tcPr>
            <w:tcW w:w="1549"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34" w:type="dxa"/>
            <w:vMerge w:val="continue"/>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p>
        </w:tc>
        <w:tc>
          <w:tcPr>
            <w:tcW w:w="1680"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社会效益指标</w:t>
            </w:r>
          </w:p>
        </w:tc>
        <w:tc>
          <w:tcPr>
            <w:tcW w:w="2536"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促进决策科学化民主化</w:t>
            </w:r>
          </w:p>
        </w:tc>
        <w:tc>
          <w:tcPr>
            <w:tcW w:w="849"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13</w:t>
            </w:r>
          </w:p>
        </w:tc>
        <w:tc>
          <w:tcPr>
            <w:tcW w:w="2380"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促进决策科学化民主化，为市委和政府科学决策提供可靠依据。</w:t>
            </w:r>
          </w:p>
        </w:tc>
        <w:tc>
          <w:tcPr>
            <w:tcW w:w="705"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文字描述</w:t>
            </w:r>
          </w:p>
        </w:tc>
        <w:tc>
          <w:tcPr>
            <w:tcW w:w="633"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p>
        </w:tc>
        <w:tc>
          <w:tcPr>
            <w:tcW w:w="667"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效果较显著</w:t>
            </w:r>
          </w:p>
        </w:tc>
        <w:tc>
          <w:tcPr>
            <w:tcW w:w="1549"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34" w:type="dxa"/>
            <w:vMerge w:val="continue"/>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p>
        </w:tc>
        <w:tc>
          <w:tcPr>
            <w:tcW w:w="1680" w:type="dxa"/>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default" w:ascii="方正书宋_GBK" w:eastAsia="方正书宋_GBK"/>
                <w:sz w:val="18"/>
                <w:szCs w:val="18"/>
                <w:lang w:eastAsia="zh-CN"/>
              </w:rPr>
              <w:t>社会效益指标</w:t>
            </w:r>
          </w:p>
        </w:tc>
        <w:tc>
          <w:tcPr>
            <w:tcW w:w="2536"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弘扬传统文化</w:t>
            </w:r>
          </w:p>
        </w:tc>
        <w:tc>
          <w:tcPr>
            <w:tcW w:w="849"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14</w:t>
            </w:r>
          </w:p>
        </w:tc>
        <w:tc>
          <w:tcPr>
            <w:tcW w:w="2380"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传承和弘扬优秀传统文化，发展社会主义先进文化。</w:t>
            </w:r>
          </w:p>
        </w:tc>
        <w:tc>
          <w:tcPr>
            <w:tcW w:w="705"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文字描述</w:t>
            </w:r>
          </w:p>
        </w:tc>
        <w:tc>
          <w:tcPr>
            <w:tcW w:w="633"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p>
        </w:tc>
        <w:tc>
          <w:tcPr>
            <w:tcW w:w="667"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效果较显著</w:t>
            </w:r>
          </w:p>
        </w:tc>
        <w:tc>
          <w:tcPr>
            <w:tcW w:w="1549"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34" w:type="dxa"/>
            <w:vMerge w:val="restart"/>
            <w:tcBorders>
              <w:tl2br w:val="nil"/>
              <w:tr2bl w:val="nil"/>
            </w:tcBorders>
            <w:vAlign w:val="center"/>
          </w:tcPr>
          <w:p>
            <w:pPr>
              <w:widowControl/>
              <w:adjustRightInd w:val="0"/>
              <w:snapToGrid w:val="0"/>
              <w:jc w:val="center"/>
              <w:rPr>
                <w:rFonts w:hint="eastAsia" w:ascii="方正书宋_GBK" w:eastAsia="方正书宋_GBK"/>
                <w:sz w:val="18"/>
                <w:szCs w:val="18"/>
                <w:lang w:eastAsia="zh-CN"/>
              </w:rPr>
            </w:pPr>
            <w:r>
              <w:rPr>
                <w:rFonts w:hint="eastAsia" w:ascii="方正书宋_GBK" w:eastAsia="方正书宋_GBK"/>
                <w:sz w:val="18"/>
                <w:szCs w:val="18"/>
                <w:lang w:eastAsia="zh-CN"/>
              </w:rPr>
              <w:t>满意度</w:t>
            </w:r>
          </w:p>
        </w:tc>
        <w:tc>
          <w:tcPr>
            <w:tcW w:w="1680"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eastAsia" w:ascii="方正书宋_GBK" w:eastAsia="方正书宋_GBK"/>
                <w:sz w:val="18"/>
                <w:szCs w:val="18"/>
                <w:lang w:eastAsia="zh-CN"/>
              </w:rPr>
              <w:t>服务对象满意度指标</w:t>
            </w:r>
          </w:p>
        </w:tc>
        <w:tc>
          <w:tcPr>
            <w:tcW w:w="2536"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eastAsia" w:ascii="方正书宋_GBK" w:eastAsia="方正书宋_GBK"/>
                <w:sz w:val="18"/>
                <w:szCs w:val="18"/>
                <w:lang w:eastAsia="zh-CN"/>
              </w:rPr>
              <w:t>干部、委员对培训情况满意度</w:t>
            </w:r>
          </w:p>
        </w:tc>
        <w:tc>
          <w:tcPr>
            <w:tcW w:w="849"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4</w:t>
            </w:r>
          </w:p>
        </w:tc>
        <w:tc>
          <w:tcPr>
            <w:tcW w:w="2380"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干部、委员对培训情况满意、较满意占调查人数的比率</w:t>
            </w:r>
          </w:p>
        </w:tc>
        <w:tc>
          <w:tcPr>
            <w:tcW w:w="705"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w:t>
            </w:r>
          </w:p>
        </w:tc>
        <w:tc>
          <w:tcPr>
            <w:tcW w:w="633"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90.00</w:t>
            </w:r>
          </w:p>
        </w:tc>
        <w:tc>
          <w:tcPr>
            <w:tcW w:w="667"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百分比</w:t>
            </w:r>
          </w:p>
        </w:tc>
        <w:tc>
          <w:tcPr>
            <w:tcW w:w="1549"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334" w:type="dxa"/>
            <w:vMerge w:val="continue"/>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p>
        </w:tc>
        <w:tc>
          <w:tcPr>
            <w:tcW w:w="1680"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eastAsia" w:ascii="方正书宋_GBK" w:eastAsia="方正书宋_GBK"/>
                <w:sz w:val="18"/>
                <w:szCs w:val="18"/>
                <w:lang w:eastAsia="zh-CN"/>
              </w:rPr>
              <w:t>服务对象满意度指标</w:t>
            </w:r>
          </w:p>
        </w:tc>
        <w:tc>
          <w:tcPr>
            <w:tcW w:w="2536"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参会人员对会议的满意度</w:t>
            </w:r>
          </w:p>
        </w:tc>
        <w:tc>
          <w:tcPr>
            <w:tcW w:w="849"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3</w:t>
            </w:r>
          </w:p>
        </w:tc>
        <w:tc>
          <w:tcPr>
            <w:tcW w:w="2380"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参会人员对会议满意、较满意人数占参会调查人数的比率</w:t>
            </w:r>
          </w:p>
        </w:tc>
        <w:tc>
          <w:tcPr>
            <w:tcW w:w="705"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w:t>
            </w:r>
          </w:p>
        </w:tc>
        <w:tc>
          <w:tcPr>
            <w:tcW w:w="633"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95.00</w:t>
            </w:r>
          </w:p>
        </w:tc>
        <w:tc>
          <w:tcPr>
            <w:tcW w:w="667"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百分比</w:t>
            </w:r>
          </w:p>
        </w:tc>
        <w:tc>
          <w:tcPr>
            <w:tcW w:w="1549"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34" w:type="dxa"/>
            <w:vMerge w:val="continue"/>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p>
        </w:tc>
        <w:tc>
          <w:tcPr>
            <w:tcW w:w="1680"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eastAsia" w:ascii="方正书宋_GBK" w:eastAsia="方正书宋_GBK"/>
                <w:sz w:val="18"/>
                <w:szCs w:val="18"/>
                <w:lang w:eastAsia="zh-CN"/>
              </w:rPr>
              <w:t>服务对象满意度指标</w:t>
            </w:r>
          </w:p>
        </w:tc>
        <w:tc>
          <w:tcPr>
            <w:tcW w:w="2536"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政协委员、相关群体满意度</w:t>
            </w:r>
          </w:p>
        </w:tc>
        <w:tc>
          <w:tcPr>
            <w:tcW w:w="849"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3</w:t>
            </w:r>
          </w:p>
        </w:tc>
        <w:tc>
          <w:tcPr>
            <w:tcW w:w="2380"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在调查中满意、较满意占调查人数比例</w:t>
            </w:r>
          </w:p>
        </w:tc>
        <w:tc>
          <w:tcPr>
            <w:tcW w:w="705"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w:t>
            </w:r>
          </w:p>
        </w:tc>
        <w:tc>
          <w:tcPr>
            <w:tcW w:w="633"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90.00</w:t>
            </w:r>
          </w:p>
        </w:tc>
        <w:tc>
          <w:tcPr>
            <w:tcW w:w="667"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百分比</w:t>
            </w:r>
          </w:p>
        </w:tc>
        <w:tc>
          <w:tcPr>
            <w:tcW w:w="1549" w:type="dxa"/>
            <w:tcBorders>
              <w:tl2br w:val="nil"/>
              <w:tr2bl w:val="nil"/>
            </w:tcBorders>
            <w:vAlign w:val="center"/>
          </w:tcPr>
          <w:p>
            <w:pPr>
              <w:widowControl/>
              <w:adjustRightInd w:val="0"/>
              <w:snapToGrid w:val="0"/>
              <w:jc w:val="center"/>
              <w:rPr>
                <w:rFonts w:hint="default" w:ascii="方正书宋_GBK" w:eastAsia="方正书宋_GBK"/>
                <w:sz w:val="18"/>
                <w:szCs w:val="18"/>
                <w:lang w:eastAsia="zh-CN"/>
              </w:rPr>
            </w:pPr>
            <w:r>
              <w:rPr>
                <w:rFonts w:hint="default" w:ascii="方正书宋_GBK" w:eastAsia="方正书宋_GBK"/>
                <w:sz w:val="18"/>
                <w:szCs w:val="18"/>
                <w:lang w:eastAsia="zh-CN"/>
              </w:rPr>
              <w:t>计划标准</w:t>
            </w:r>
          </w:p>
        </w:tc>
      </w:tr>
    </w:tbl>
    <w:p>
      <w:pPr>
        <w:numPr>
          <w:ilvl w:val="0"/>
          <w:numId w:val="0"/>
        </w:numPr>
        <w:rPr>
          <w:rFonts w:hint="eastAsia" w:ascii="仿宋_GB2312" w:hAnsi="Times New Roman" w:eastAsia="仿宋_GB2312" w:cs="Times New Roman"/>
          <w:b w:val="0"/>
          <w:bCs/>
          <w:color w:val="auto"/>
          <w:sz w:val="32"/>
          <w:szCs w:val="32"/>
          <w:lang w:val="en-US" w:eastAsia="zh-CN"/>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bookmarkEnd w:id="0"/>
    </w:p>
    <w:p>
      <w:pPr>
        <w:ind w:firstLine="560" w:firstLineChars="200"/>
        <w:jc w:val="left"/>
        <w:outlineLvl w:val="1"/>
        <w:rPr>
          <w:rFonts w:hAnsi="宋体"/>
          <w:b/>
          <w:sz w:val="28"/>
        </w:rPr>
      </w:pPr>
      <w:r>
        <w:rPr>
          <w:rFonts w:hint="eastAsia" w:ascii="方正仿宋_GBK" w:eastAsia="方正仿宋_GBK"/>
          <w:b/>
          <w:sz w:val="28"/>
        </w:rPr>
        <w:t>1、参政议政调研、视察经费绩效目标表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6"/>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1.围绕市委、市政府中心工作，通过调研课题就党和政府关心关注的问题，提出客观、有价值、有分量、有影响的意见建议，促进决策民主化和科学化，为市委和政府科学决策提供可靠依据。</w:t>
            </w:r>
          </w:p>
          <w:p>
            <w:pPr>
              <w:spacing w:line="300" w:lineRule="exact"/>
              <w:jc w:val="left"/>
              <w:rPr>
                <w:rFonts w:ascii="方正书宋_GBK" w:eastAsia="方正书宋_GBK"/>
              </w:rPr>
            </w:pPr>
            <w:r>
              <w:rPr>
                <w:rFonts w:hint="eastAsia" w:ascii="方正书宋_GBK" w:eastAsia="方正书宋_GBK"/>
              </w:rPr>
              <w:t>2.完成重点课题和专项调研3项。</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6"/>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课题和专题调研完成数量（项）</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重点课题和专项调研完成数量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≥3项</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调研成果采纳数量（项）</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调研结果和政策建议为市委和政府科学决策提供可靠依据的调研数量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≥2项</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调研课题完成时间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调研课题完成时间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≤10月份</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住宿费用成本控制</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调研人员住宿人均成本控制</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≤350元/人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有效促进决策科学化民主化</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促进决策科学化民主化，为市委和政府科学决策提供可靠依据</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有效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决策部门满意度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决策部门对调研成果满意、较满意占调研数量的比率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numPr>
          <w:ilvl w:val="0"/>
          <w:numId w:val="0"/>
        </w:numPr>
        <w:ind w:firstLine="560" w:firstLineChars="200"/>
        <w:jc w:val="left"/>
        <w:outlineLvl w:val="1"/>
        <w:rPr>
          <w:rFonts w:hint="eastAsia" w:ascii="方正仿宋_GBK" w:eastAsia="方正仿宋_GBK"/>
          <w:b/>
          <w:color w:val="auto"/>
          <w:sz w:val="28"/>
          <w:lang w:val="en-US" w:eastAsia="zh-CN"/>
        </w:rPr>
      </w:pPr>
    </w:p>
    <w:p>
      <w:pPr>
        <w:numPr>
          <w:ilvl w:val="0"/>
          <w:numId w:val="0"/>
        </w:numPr>
        <w:ind w:firstLine="560" w:firstLineChars="200"/>
        <w:jc w:val="left"/>
        <w:outlineLvl w:val="1"/>
        <w:rPr>
          <w:rFonts w:hAnsi="宋体"/>
          <w:b/>
          <w:sz w:val="28"/>
        </w:rPr>
      </w:pPr>
      <w:r>
        <w:rPr>
          <w:rFonts w:hint="eastAsia" w:ascii="方正仿宋_GBK" w:eastAsia="方正仿宋_GBK"/>
          <w:b/>
          <w:color w:val="auto"/>
          <w:sz w:val="28"/>
          <w:lang w:val="en-US" w:eastAsia="zh-CN"/>
        </w:rPr>
        <w:t>2、</w:t>
      </w:r>
      <w:r>
        <w:rPr>
          <w:rFonts w:hint="eastAsia" w:ascii="方正仿宋_GBK" w:eastAsia="方正仿宋_GBK"/>
          <w:b/>
          <w:sz w:val="28"/>
        </w:rPr>
        <w:t>政协七届五次全会会议费绩效目标表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6"/>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1.组织召开政协七届五次全体会议，听取并审议政协常委会工作报告、提案工作报告，列席人大会议，听取讨论政府工作报告及其他报告，通过大会决议。</w:t>
            </w:r>
          </w:p>
          <w:p>
            <w:pPr>
              <w:spacing w:line="300" w:lineRule="exact"/>
              <w:jc w:val="left"/>
              <w:rPr>
                <w:rFonts w:ascii="方正书宋_GBK" w:eastAsia="方正书宋_GBK"/>
              </w:rPr>
            </w:pPr>
            <w:r>
              <w:rPr>
                <w:rFonts w:hint="eastAsia" w:ascii="方正书宋_GBK" w:eastAsia="方正书宋_GBK"/>
              </w:rPr>
              <w:t>2.计划接收委员合并后提案100余条。</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6"/>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接收提案建议、意见数量（条）</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接受提案建议、意见数量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≥100条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参会人数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参会人数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≥220人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参会人员参与率（%）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参会人员实际参与人数占参会人数的比率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提案答复率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提案答复占提案数量的比率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100百分比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会议会务完成时间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会议会务完成时间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≤2021.02月份</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政协七届五次全体会议单位成本</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会议经费成本控制</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≤500元/人/天</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提高政协委员履职能力</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完成相关工作任务，履职能力不断提升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有效</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参会人员对会议的满意度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参会人员对会议满意、较满意人数占参会调查人数的比率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≥95百分比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numPr>
          <w:ilvl w:val="0"/>
          <w:numId w:val="0"/>
        </w:numPr>
        <w:rPr>
          <w:rFonts w:ascii="仿宋_GB2312" w:hAnsi="黑体" w:eastAsia="仿宋_GB2312" w:cs="Times New Roman"/>
          <w:color w:val="000000"/>
          <w:sz w:val="32"/>
          <w:szCs w:val="32"/>
        </w:rPr>
      </w:pPr>
    </w:p>
    <w:p>
      <w:pPr>
        <w:numPr>
          <w:ilvl w:val="0"/>
          <w:numId w:val="0"/>
        </w:numPr>
        <w:ind w:firstLine="643" w:firstLineChars="200"/>
        <w:rPr>
          <w:rFonts w:hAnsi="宋体"/>
          <w:b/>
          <w:sz w:val="28"/>
        </w:rPr>
      </w:pPr>
      <w:r>
        <w:rPr>
          <w:rFonts w:hint="eastAsia" w:ascii="仿宋_GB2312" w:hAnsi="黑体" w:eastAsia="仿宋_GB2312" w:cs="Times New Roman"/>
          <w:b/>
          <w:bCs/>
          <w:color w:val="000000"/>
          <w:sz w:val="32"/>
          <w:szCs w:val="32"/>
          <w:lang w:val="en-US" w:eastAsia="zh-CN"/>
        </w:rPr>
        <w:t>3</w:t>
      </w:r>
      <w:r>
        <w:rPr>
          <w:rFonts w:hint="eastAsia" w:ascii="仿宋_GB2312" w:hAnsi="黑体" w:eastAsia="仿宋_GB2312" w:cs="Times New Roman"/>
          <w:color w:val="000000"/>
          <w:sz w:val="32"/>
          <w:szCs w:val="32"/>
          <w:lang w:val="en-US" w:eastAsia="zh-CN"/>
        </w:rPr>
        <w:t>、</w:t>
      </w:r>
      <w:r>
        <w:rPr>
          <w:rFonts w:hint="eastAsia" w:ascii="方正仿宋_GBK" w:eastAsia="方正仿宋_GBK"/>
          <w:b/>
          <w:sz w:val="28"/>
        </w:rPr>
        <w:t>霸州文史编印费绩效目标表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6"/>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1.学习文史委员会坚持中国特色社会主义文化发展道路，传承中华优秀传统文化，发展社会主义先进文化，弘扬民族精神和时代精神，收集整理文史资料，计划编制出版印刷学习资料。</w:t>
            </w:r>
          </w:p>
          <w:p>
            <w:pPr>
              <w:spacing w:line="300" w:lineRule="exact"/>
              <w:jc w:val="left"/>
              <w:rPr>
                <w:rFonts w:ascii="方正书宋_GBK" w:eastAsia="方正书宋_GBK"/>
              </w:rPr>
            </w:pPr>
            <w:r>
              <w:rPr>
                <w:rFonts w:hint="eastAsia" w:ascii="方正书宋_GBK" w:eastAsia="方正书宋_GBK"/>
              </w:rPr>
              <w:t>2.印刷文史资料3000册，发放到政协委员和乡镇、村街、学校，让大众充分了解学习霸州历史。</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6"/>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文史资料出版印刷数量（册）</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文史出版印刷数量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≥3000册</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出版印刷行业标准</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参照出版印刷行业标准CY/T21999</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达标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印刷完成时间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印刷完成时间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≤11月份</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印刷页单价</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限定普通印刷纸张费用</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≤0.15元</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及时挖掘和保护霸州文化的多样性</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传承和弘扬优秀传统文化，发展社会主义先进文化</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效果显著</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政协委员、乡镇村街居民、学校师</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在调查中满意、较满意占调查人数比例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numPr>
          <w:ilvl w:val="0"/>
          <w:numId w:val="0"/>
        </w:numPr>
        <w:ind w:firstLine="560" w:firstLineChars="200"/>
        <w:jc w:val="left"/>
        <w:outlineLvl w:val="1"/>
        <w:rPr>
          <w:rFonts w:hint="eastAsia" w:ascii="方正仿宋_GBK" w:eastAsia="方正仿宋_GBK"/>
          <w:b/>
          <w:sz w:val="28"/>
        </w:rPr>
      </w:pPr>
    </w:p>
    <w:p>
      <w:pPr>
        <w:numPr>
          <w:ilvl w:val="0"/>
          <w:numId w:val="0"/>
        </w:numPr>
        <w:ind w:firstLine="560" w:firstLineChars="200"/>
        <w:jc w:val="left"/>
        <w:outlineLvl w:val="1"/>
        <w:rPr>
          <w:rFonts w:hAnsi="宋体"/>
          <w:b/>
          <w:sz w:val="28"/>
        </w:rPr>
      </w:pPr>
      <w:r>
        <w:rPr>
          <w:rFonts w:hint="eastAsia" w:ascii="方正仿宋_GBK" w:eastAsia="方正仿宋_GBK"/>
          <w:b/>
          <w:sz w:val="28"/>
          <w:lang w:val="en-US" w:eastAsia="zh-CN"/>
        </w:rPr>
        <w:t>4、</w:t>
      </w:r>
      <w:r>
        <w:rPr>
          <w:rFonts w:hint="eastAsia" w:ascii="方正仿宋_GBK" w:eastAsia="方正仿宋_GBK"/>
          <w:b/>
          <w:sz w:val="28"/>
        </w:rPr>
        <w:t>政协机关干部、委员教育培训学习经费绩效目标表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6"/>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1.订阅《文史精华》、《乡音》244册，促进委员学习不断提高自我。</w:t>
            </w:r>
          </w:p>
          <w:p>
            <w:pPr>
              <w:spacing w:line="300" w:lineRule="exact"/>
              <w:jc w:val="left"/>
              <w:rPr>
                <w:rFonts w:ascii="方正书宋_GBK" w:eastAsia="方正书宋_GBK"/>
              </w:rPr>
            </w:pPr>
            <w:r>
              <w:rPr>
                <w:rFonts w:hint="eastAsia" w:ascii="方正书宋_GBK" w:eastAsia="方正书宋_GBK"/>
              </w:rPr>
              <w:t>2.组织50余名政协机关干部、委员参加教育培训学习，促进政协自身建设质量更加扎实，不断提高学习与履职实践相结合的能力。</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6"/>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组织教育培训次数（次）</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机关干部、委员教育培训次数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订阅杂志数量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订阅杂志数量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≥240册</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机关干部、委员教育培训参加人次</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机关干部、委员培训参加人次</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≥45人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订阅杂志时间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订阅杂志时间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≤6月份</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组织培训时间</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组织机关干部、政协委员教育培训时间</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≤10月份</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机关干部、政协委员党性教育培训</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培训经费成本控制</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≤450元/人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通过培训学习，使政协自身建设质</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项目实施对提高履职能力等方面的效益</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干部、委员对培训情况满意度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干部、委员对培训情况满意、较满意占调查人数的比率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仿宋_GB2312" w:hAnsi="黑体" w:eastAsia="仿宋_GB2312" w:cs="Times New Roman"/>
          <w:color w:val="000000"/>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auto"/>
          <w:sz w:val="32"/>
          <w:szCs w:val="32"/>
        </w:rPr>
      </w:pPr>
      <w:bookmarkStart w:id="1" w:name="_Toc471398468"/>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年，我部门安排政府采购预算</w:t>
      </w:r>
      <w:r>
        <w:rPr>
          <w:rFonts w:hint="eastAsia" w:ascii="仿宋_GB2312" w:hAnsi="Times New Roman" w:eastAsia="仿宋_GB2312" w:cs="Times New Roman"/>
          <w:color w:val="auto"/>
          <w:sz w:val="32"/>
          <w:szCs w:val="32"/>
          <w:lang w:val="en-US" w:eastAsia="zh-CN"/>
        </w:rPr>
        <w:t>1.7</w:t>
      </w:r>
      <w:r>
        <w:rPr>
          <w:rFonts w:hint="eastAsia" w:ascii="仿宋_GB2312" w:hAnsi="Times New Roman" w:eastAsia="仿宋_GB2312" w:cs="Times New Roman"/>
          <w:color w:val="auto"/>
          <w:sz w:val="32"/>
          <w:szCs w:val="32"/>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
    </w:p>
    <w:tbl>
      <w:tblPr>
        <w:tblStyle w:val="6"/>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878"/>
        <w:gridCol w:w="1399"/>
        <w:gridCol w:w="878"/>
        <w:gridCol w:w="878"/>
        <w:gridCol w:w="904"/>
        <w:gridCol w:w="961"/>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hAnsi="Times New Roman" w:eastAsia="方正小标宋_GBK" w:cs="Times New Roman"/>
                <w:sz w:val="24"/>
                <w:szCs w:val="24"/>
                <w:lang w:val="en-US" w:eastAsia="zh-CN"/>
              </w:rPr>
            </w:pPr>
            <w:r>
              <w:rPr>
                <w:rFonts w:hint="eastAsia" w:ascii="方正小标宋_GBK" w:hAnsi="Times New Roman" w:eastAsia="方正小标宋_GBK" w:cs="Times New Roman"/>
                <w:sz w:val="18"/>
                <w:szCs w:val="18"/>
                <w:lang w:val="en-US" w:eastAsia="zh-CN"/>
              </w:rPr>
              <w:t>102001政协霸州市委员会</w:t>
            </w:r>
          </w:p>
        </w:tc>
        <w:tc>
          <w:tcPr>
            <w:tcW w:w="5768"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政府采购项目来源</w:t>
            </w:r>
          </w:p>
        </w:tc>
        <w:tc>
          <w:tcPr>
            <w:tcW w:w="878" w:type="dxa"/>
            <w:vMerge w:val="restart"/>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采购物品名称</w:t>
            </w:r>
          </w:p>
        </w:tc>
        <w:tc>
          <w:tcPr>
            <w:tcW w:w="1399" w:type="dxa"/>
            <w:vMerge w:val="restart"/>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政府采购目录序号</w:t>
            </w:r>
          </w:p>
        </w:tc>
        <w:tc>
          <w:tcPr>
            <w:tcW w:w="878" w:type="dxa"/>
            <w:vMerge w:val="restart"/>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计量  单位</w:t>
            </w:r>
          </w:p>
        </w:tc>
        <w:tc>
          <w:tcPr>
            <w:tcW w:w="878" w:type="dxa"/>
            <w:vMerge w:val="restart"/>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数量</w:t>
            </w:r>
          </w:p>
        </w:tc>
        <w:tc>
          <w:tcPr>
            <w:tcW w:w="904" w:type="dxa"/>
            <w:vMerge w:val="restart"/>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单价</w:t>
            </w:r>
          </w:p>
        </w:tc>
        <w:tc>
          <w:tcPr>
            <w:tcW w:w="5768" w:type="dxa"/>
            <w:gridSpan w:val="6"/>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项目名称</w:t>
            </w:r>
          </w:p>
        </w:tc>
        <w:tc>
          <w:tcPr>
            <w:tcW w:w="1258" w:type="dxa"/>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预算资金</w:t>
            </w:r>
          </w:p>
        </w:tc>
        <w:tc>
          <w:tcPr>
            <w:tcW w:w="878" w:type="dxa"/>
            <w:vMerge w:val="continue"/>
            <w:vAlign w:val="center"/>
          </w:tcPr>
          <w:p>
            <w:pPr>
              <w:rPr>
                <w:rFonts w:ascii="Times New Roman" w:hAnsi="Times New Roman" w:eastAsia="宋体" w:cs="Times New Roman"/>
                <w:szCs w:val="24"/>
              </w:rPr>
            </w:pPr>
          </w:p>
        </w:tc>
        <w:tc>
          <w:tcPr>
            <w:tcW w:w="1399" w:type="dxa"/>
            <w:vMerge w:val="continue"/>
            <w:vAlign w:val="center"/>
          </w:tcPr>
          <w:p>
            <w:pPr>
              <w:rPr>
                <w:rFonts w:ascii="Times New Roman" w:hAnsi="Times New Roman" w:eastAsia="宋体" w:cs="Times New Roman"/>
                <w:szCs w:val="24"/>
              </w:rPr>
            </w:pPr>
          </w:p>
        </w:tc>
        <w:tc>
          <w:tcPr>
            <w:tcW w:w="878" w:type="dxa"/>
            <w:vMerge w:val="continue"/>
            <w:vAlign w:val="center"/>
          </w:tcPr>
          <w:p>
            <w:pPr>
              <w:rPr>
                <w:rFonts w:ascii="Times New Roman" w:hAnsi="Times New Roman" w:eastAsia="宋体" w:cs="Times New Roman"/>
                <w:szCs w:val="24"/>
              </w:rPr>
            </w:pPr>
          </w:p>
        </w:tc>
        <w:tc>
          <w:tcPr>
            <w:tcW w:w="878" w:type="dxa"/>
            <w:vMerge w:val="continue"/>
            <w:vAlign w:val="center"/>
          </w:tcPr>
          <w:p>
            <w:pPr>
              <w:rPr>
                <w:rFonts w:ascii="Times New Roman" w:hAnsi="Times New Roman" w:eastAsia="宋体" w:cs="Times New Roman"/>
                <w:szCs w:val="24"/>
              </w:rPr>
            </w:pPr>
          </w:p>
        </w:tc>
        <w:tc>
          <w:tcPr>
            <w:tcW w:w="904" w:type="dxa"/>
            <w:vMerge w:val="continue"/>
            <w:vAlign w:val="center"/>
          </w:tcPr>
          <w:p>
            <w:pPr>
              <w:rPr>
                <w:rFonts w:ascii="Times New Roman" w:hAnsi="Times New Roman" w:eastAsia="宋体" w:cs="Times New Roman"/>
                <w:szCs w:val="24"/>
              </w:rPr>
            </w:pPr>
          </w:p>
        </w:tc>
        <w:tc>
          <w:tcPr>
            <w:tcW w:w="961" w:type="dxa"/>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合计</w:t>
            </w:r>
          </w:p>
        </w:tc>
        <w:tc>
          <w:tcPr>
            <w:tcW w:w="961" w:type="dxa"/>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一般公共预算拨款</w:t>
            </w:r>
          </w:p>
        </w:tc>
        <w:tc>
          <w:tcPr>
            <w:tcW w:w="961" w:type="dxa"/>
            <w:vAlign w:val="center"/>
          </w:tcPr>
          <w:p>
            <w:pPr>
              <w:spacing w:line="300" w:lineRule="exact"/>
              <w:jc w:val="center"/>
            </w:pPr>
            <w:r>
              <w:rPr>
                <w:rFonts w:ascii="方正书宋_GBK" w:eastAsia="方正书宋_GBK" w:cs="Times New Roman"/>
                <w:b/>
              </w:rPr>
              <w:t>基金预算拨款</w:t>
            </w:r>
          </w:p>
        </w:tc>
        <w:tc>
          <w:tcPr>
            <w:tcW w:w="961" w:type="dxa"/>
            <w:vAlign w:val="center"/>
          </w:tcPr>
          <w:p>
            <w:pPr>
              <w:spacing w:line="300" w:lineRule="exact"/>
              <w:jc w:val="center"/>
            </w:pPr>
            <w:r>
              <w:rPr>
                <w:rFonts w:ascii="方正书宋_GBK" w:eastAsia="方正书宋_GBK" w:cs="Times New Roman"/>
                <w:b/>
              </w:rPr>
              <w:t>国有资本经营预算拨款</w:t>
            </w:r>
          </w:p>
        </w:tc>
        <w:tc>
          <w:tcPr>
            <w:tcW w:w="962" w:type="dxa"/>
            <w:vAlign w:val="center"/>
          </w:tcPr>
          <w:p>
            <w:pPr>
              <w:spacing w:line="300" w:lineRule="exact"/>
              <w:jc w:val="center"/>
            </w:pPr>
            <w:r>
              <w:rPr>
                <w:rFonts w:ascii="方正书宋_GBK" w:eastAsia="方正书宋_GBK" w:cs="Times New Roman"/>
                <w:b/>
              </w:rPr>
              <w:t>财政专户核拨</w:t>
            </w:r>
          </w:p>
        </w:tc>
        <w:tc>
          <w:tcPr>
            <w:tcW w:w="962" w:type="dxa"/>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00" w:type="dxa"/>
            <w:vAlign w:val="center"/>
          </w:tcPr>
          <w:p>
            <w:pPr>
              <w:spacing w:line="300" w:lineRule="exact"/>
              <w:jc w:val="center"/>
              <w:rPr>
                <w:rFonts w:ascii="Times New Roman" w:hAnsi="Times New Roman" w:eastAsia="宋体" w:cs="Times New Roman"/>
                <w:szCs w:val="24"/>
              </w:rPr>
            </w:pPr>
            <w:r>
              <w:rPr>
                <w:rFonts w:ascii="方正书宋_GBK" w:eastAsia="方正书宋_GBK" w:cs="Times New Roman"/>
                <w:b/>
              </w:rPr>
              <w:t>合  计</w:t>
            </w:r>
          </w:p>
        </w:tc>
        <w:tc>
          <w:tcPr>
            <w:tcW w:w="1258" w:type="dxa"/>
            <w:vAlign w:val="center"/>
          </w:tcPr>
          <w:p>
            <w:pPr>
              <w:spacing w:line="300" w:lineRule="exact"/>
              <w:jc w:val="right"/>
              <w:rPr>
                <w:rFonts w:ascii="Times New Roman" w:hAnsi="Times New Roman" w:eastAsia="宋体" w:cs="Times New Roman"/>
                <w:szCs w:val="24"/>
              </w:rPr>
            </w:pPr>
          </w:p>
        </w:tc>
        <w:tc>
          <w:tcPr>
            <w:tcW w:w="878" w:type="dxa"/>
            <w:vAlign w:val="center"/>
          </w:tcPr>
          <w:p>
            <w:pPr>
              <w:spacing w:line="300" w:lineRule="exact"/>
              <w:jc w:val="left"/>
              <w:rPr>
                <w:rFonts w:ascii="Times New Roman" w:hAnsi="Times New Roman" w:eastAsia="宋体" w:cs="Times New Roman"/>
                <w:szCs w:val="24"/>
              </w:rPr>
            </w:pPr>
          </w:p>
        </w:tc>
        <w:tc>
          <w:tcPr>
            <w:tcW w:w="1399" w:type="dxa"/>
            <w:vAlign w:val="center"/>
          </w:tcPr>
          <w:p>
            <w:pPr>
              <w:spacing w:line="300" w:lineRule="exact"/>
              <w:jc w:val="left"/>
              <w:rPr>
                <w:rFonts w:ascii="Times New Roman" w:hAnsi="Times New Roman" w:eastAsia="宋体" w:cs="Times New Roman"/>
                <w:szCs w:val="24"/>
              </w:rPr>
            </w:pPr>
          </w:p>
        </w:tc>
        <w:tc>
          <w:tcPr>
            <w:tcW w:w="878" w:type="dxa"/>
            <w:vAlign w:val="center"/>
          </w:tcPr>
          <w:p>
            <w:pPr>
              <w:spacing w:line="300" w:lineRule="exact"/>
              <w:jc w:val="center"/>
              <w:rPr>
                <w:rFonts w:ascii="Times New Roman" w:hAnsi="Times New Roman" w:eastAsia="宋体" w:cs="Times New Roman"/>
                <w:szCs w:val="24"/>
              </w:rPr>
            </w:pPr>
          </w:p>
        </w:tc>
        <w:tc>
          <w:tcPr>
            <w:tcW w:w="878" w:type="dxa"/>
            <w:vAlign w:val="center"/>
          </w:tcPr>
          <w:p>
            <w:pPr>
              <w:spacing w:line="300" w:lineRule="exact"/>
              <w:jc w:val="right"/>
              <w:rPr>
                <w:rFonts w:ascii="Times New Roman" w:hAnsi="Times New Roman" w:eastAsia="宋体" w:cs="Times New Roman"/>
                <w:szCs w:val="24"/>
              </w:rPr>
            </w:pPr>
          </w:p>
        </w:tc>
        <w:tc>
          <w:tcPr>
            <w:tcW w:w="904" w:type="dxa"/>
            <w:vAlign w:val="center"/>
          </w:tcPr>
          <w:p>
            <w:pPr>
              <w:spacing w:line="300" w:lineRule="exact"/>
              <w:jc w:val="right"/>
              <w:rPr>
                <w:rFonts w:ascii="Times New Roman" w:hAnsi="Times New Roman" w:eastAsia="宋体" w:cs="Times New Roman"/>
                <w:szCs w:val="24"/>
              </w:rPr>
            </w:pPr>
          </w:p>
        </w:tc>
        <w:tc>
          <w:tcPr>
            <w:tcW w:w="961" w:type="dxa"/>
            <w:vAlign w:val="center"/>
          </w:tcPr>
          <w:p>
            <w:pPr>
              <w:spacing w:line="300" w:lineRule="exact"/>
              <w:jc w:val="right"/>
              <w:rPr>
                <w:rFonts w:hint="eastAsia" w:ascii="Times New Roman" w:hAnsi="Times New Roman" w:eastAsia="宋体" w:cs="Times New Roman"/>
                <w:szCs w:val="24"/>
                <w:lang w:val="en-US" w:eastAsia="zh-CN"/>
              </w:rPr>
            </w:pPr>
            <w:r>
              <w:rPr>
                <w:rFonts w:hint="eastAsia" w:ascii="Times New Roman" w:hAnsi="Times New Roman" w:cs="Times New Roman"/>
                <w:b/>
                <w:bCs/>
                <w:szCs w:val="24"/>
                <w:lang w:val="en-US" w:eastAsia="zh-CN"/>
              </w:rPr>
              <w:t>1.7</w:t>
            </w:r>
          </w:p>
        </w:tc>
        <w:tc>
          <w:tcPr>
            <w:tcW w:w="961" w:type="dxa"/>
            <w:vAlign w:val="center"/>
          </w:tcPr>
          <w:p>
            <w:pPr>
              <w:spacing w:line="300" w:lineRule="exact"/>
              <w:jc w:val="right"/>
              <w:rPr>
                <w:rFonts w:hint="eastAsia" w:ascii="方正书宋_GBK" w:hAnsi="Times New Roman" w:eastAsia="方正书宋_GBK" w:cs="Times New Roman"/>
                <w:b/>
                <w:szCs w:val="24"/>
                <w:lang w:val="en-US" w:eastAsia="zh-CN"/>
              </w:rPr>
            </w:pPr>
            <w:r>
              <w:rPr>
                <w:rFonts w:hint="eastAsia" w:ascii="方正书宋_GBK" w:hAnsi="Times New Roman" w:eastAsia="方正书宋_GBK" w:cs="Times New Roman"/>
                <w:b/>
                <w:szCs w:val="24"/>
                <w:lang w:val="en-US" w:eastAsia="zh-CN"/>
              </w:rPr>
              <w:t>1.7</w:t>
            </w:r>
          </w:p>
        </w:tc>
        <w:tc>
          <w:tcPr>
            <w:tcW w:w="961" w:type="dxa"/>
            <w:vAlign w:val="center"/>
          </w:tcPr>
          <w:p>
            <w:pPr>
              <w:spacing w:line="300" w:lineRule="exact"/>
              <w:jc w:val="right"/>
              <w:rPr>
                <w:rFonts w:ascii="方正书宋_GBK" w:hAnsi="Times New Roman" w:eastAsia="方正书宋_GBK" w:cs="Times New Roman"/>
                <w:b/>
                <w:szCs w:val="24"/>
              </w:rPr>
            </w:pPr>
          </w:p>
        </w:tc>
        <w:tc>
          <w:tcPr>
            <w:tcW w:w="961" w:type="dxa"/>
            <w:vAlign w:val="center"/>
          </w:tcPr>
          <w:p>
            <w:pPr>
              <w:spacing w:line="300" w:lineRule="exact"/>
              <w:jc w:val="right"/>
              <w:rPr>
                <w:rFonts w:ascii="方正书宋_GBK" w:hAnsi="Times New Roman" w:eastAsia="方正书宋_GBK" w:cs="Times New Roman"/>
                <w:b/>
                <w:szCs w:val="24"/>
              </w:rPr>
            </w:pPr>
          </w:p>
        </w:tc>
        <w:tc>
          <w:tcPr>
            <w:tcW w:w="962" w:type="dxa"/>
            <w:vAlign w:val="center"/>
          </w:tcPr>
          <w:p>
            <w:pPr>
              <w:spacing w:line="300" w:lineRule="exact"/>
              <w:jc w:val="right"/>
              <w:rPr>
                <w:rFonts w:ascii="方正书宋_GBK" w:hAnsi="Times New Roman" w:eastAsia="方正书宋_GBK" w:cs="Times New Roman"/>
                <w:b/>
                <w:szCs w:val="24"/>
              </w:rPr>
            </w:pPr>
          </w:p>
        </w:tc>
        <w:tc>
          <w:tcPr>
            <w:tcW w:w="962" w:type="dxa"/>
            <w:vAlign w:val="center"/>
          </w:tcPr>
          <w:p>
            <w:pPr>
              <w:spacing w:line="300" w:lineRule="exact"/>
              <w:jc w:val="right"/>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公用类项目</w:t>
            </w:r>
          </w:p>
        </w:tc>
        <w:tc>
          <w:tcPr>
            <w:tcW w:w="1258" w:type="dxa"/>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84.08</w:t>
            </w:r>
          </w:p>
        </w:tc>
        <w:tc>
          <w:tcPr>
            <w:tcW w:w="878" w:type="dxa"/>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台式计算机</w:t>
            </w:r>
          </w:p>
        </w:tc>
        <w:tc>
          <w:tcPr>
            <w:tcW w:w="1399" w:type="dxa"/>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A02010104</w:t>
            </w:r>
          </w:p>
        </w:tc>
        <w:tc>
          <w:tcPr>
            <w:tcW w:w="878" w:type="dxa"/>
            <w:vAlign w:val="center"/>
          </w:tcPr>
          <w:p>
            <w:pPr>
              <w:spacing w:line="300" w:lineRule="exact"/>
              <w:jc w:val="center"/>
              <w:rPr>
                <w:rFonts w:ascii="方正书宋_GBK" w:hAnsi="Times New Roman" w:eastAsia="方正书宋_GBK" w:cs="Times New Roman"/>
                <w:b/>
                <w:szCs w:val="24"/>
              </w:rPr>
            </w:pPr>
            <w:r>
              <w:rPr>
                <w:rFonts w:hint="eastAsia" w:ascii="方正书宋_GBK" w:eastAsia="方正书宋_GBK"/>
              </w:rPr>
              <w:t>台</w:t>
            </w:r>
          </w:p>
        </w:tc>
        <w:tc>
          <w:tcPr>
            <w:tcW w:w="878" w:type="dxa"/>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2</w:t>
            </w:r>
          </w:p>
        </w:tc>
        <w:tc>
          <w:tcPr>
            <w:tcW w:w="904" w:type="dxa"/>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0.45</w:t>
            </w:r>
          </w:p>
        </w:tc>
        <w:tc>
          <w:tcPr>
            <w:tcW w:w="961" w:type="dxa"/>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0.90</w:t>
            </w:r>
          </w:p>
        </w:tc>
        <w:tc>
          <w:tcPr>
            <w:tcW w:w="961" w:type="dxa"/>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0.90</w:t>
            </w:r>
          </w:p>
        </w:tc>
        <w:tc>
          <w:tcPr>
            <w:tcW w:w="961" w:type="dxa"/>
            <w:vAlign w:val="center"/>
          </w:tcPr>
          <w:p>
            <w:pPr>
              <w:spacing w:line="300" w:lineRule="exact"/>
              <w:jc w:val="right"/>
              <w:rPr>
                <w:rFonts w:ascii="方正书宋_GBK" w:hAnsi="Times New Roman" w:eastAsia="方正书宋_GBK" w:cs="Times New Roman"/>
                <w:b/>
                <w:szCs w:val="24"/>
              </w:rPr>
            </w:pPr>
          </w:p>
        </w:tc>
        <w:tc>
          <w:tcPr>
            <w:tcW w:w="961" w:type="dxa"/>
            <w:vAlign w:val="center"/>
          </w:tcPr>
          <w:p>
            <w:pPr>
              <w:spacing w:line="300" w:lineRule="exact"/>
              <w:jc w:val="right"/>
              <w:rPr>
                <w:rFonts w:ascii="方正书宋_GBK" w:hAnsi="Times New Roman" w:eastAsia="方正书宋_GBK" w:cs="Times New Roman"/>
                <w:b/>
                <w:szCs w:val="24"/>
              </w:rPr>
            </w:pPr>
          </w:p>
        </w:tc>
        <w:tc>
          <w:tcPr>
            <w:tcW w:w="962" w:type="dxa"/>
            <w:vAlign w:val="center"/>
          </w:tcPr>
          <w:p>
            <w:pPr>
              <w:spacing w:line="300" w:lineRule="exact"/>
              <w:jc w:val="right"/>
              <w:rPr>
                <w:rFonts w:ascii="方正书宋_GBK" w:hAnsi="Times New Roman" w:eastAsia="方正书宋_GBK" w:cs="Times New Roman"/>
                <w:b/>
                <w:szCs w:val="24"/>
              </w:rPr>
            </w:pPr>
          </w:p>
        </w:tc>
        <w:tc>
          <w:tcPr>
            <w:tcW w:w="962" w:type="dxa"/>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公用类项目</w:t>
            </w:r>
          </w:p>
        </w:tc>
        <w:tc>
          <w:tcPr>
            <w:tcW w:w="1258" w:type="dxa"/>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84.08</w:t>
            </w:r>
          </w:p>
        </w:tc>
        <w:tc>
          <w:tcPr>
            <w:tcW w:w="878" w:type="dxa"/>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多功能一体机</w:t>
            </w:r>
          </w:p>
        </w:tc>
        <w:tc>
          <w:tcPr>
            <w:tcW w:w="1399" w:type="dxa"/>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A020204</w:t>
            </w:r>
          </w:p>
        </w:tc>
        <w:tc>
          <w:tcPr>
            <w:tcW w:w="878" w:type="dxa"/>
            <w:vAlign w:val="center"/>
          </w:tcPr>
          <w:p>
            <w:pPr>
              <w:spacing w:line="300" w:lineRule="exact"/>
              <w:jc w:val="center"/>
              <w:rPr>
                <w:rFonts w:ascii="方正书宋_GBK" w:hAnsi="Times New Roman" w:eastAsia="方正书宋_GBK" w:cs="Times New Roman"/>
                <w:b/>
                <w:szCs w:val="24"/>
              </w:rPr>
            </w:pPr>
            <w:r>
              <w:rPr>
                <w:rFonts w:hint="eastAsia" w:ascii="方正书宋_GBK" w:eastAsia="方正书宋_GBK"/>
              </w:rPr>
              <w:t>台</w:t>
            </w:r>
          </w:p>
        </w:tc>
        <w:tc>
          <w:tcPr>
            <w:tcW w:w="878" w:type="dxa"/>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w:t>
            </w:r>
          </w:p>
        </w:tc>
        <w:tc>
          <w:tcPr>
            <w:tcW w:w="904" w:type="dxa"/>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0.80</w:t>
            </w:r>
          </w:p>
        </w:tc>
        <w:tc>
          <w:tcPr>
            <w:tcW w:w="961" w:type="dxa"/>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0.80</w:t>
            </w:r>
          </w:p>
        </w:tc>
        <w:tc>
          <w:tcPr>
            <w:tcW w:w="961" w:type="dxa"/>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0.80</w:t>
            </w:r>
          </w:p>
        </w:tc>
        <w:tc>
          <w:tcPr>
            <w:tcW w:w="961" w:type="dxa"/>
            <w:vAlign w:val="center"/>
          </w:tcPr>
          <w:p>
            <w:pPr>
              <w:spacing w:line="300" w:lineRule="exact"/>
              <w:jc w:val="right"/>
              <w:rPr>
                <w:rFonts w:ascii="方正书宋_GBK" w:hAnsi="Times New Roman" w:eastAsia="方正书宋_GBK" w:cs="Times New Roman"/>
                <w:b/>
                <w:szCs w:val="24"/>
              </w:rPr>
            </w:pPr>
          </w:p>
        </w:tc>
        <w:tc>
          <w:tcPr>
            <w:tcW w:w="961" w:type="dxa"/>
            <w:vAlign w:val="center"/>
          </w:tcPr>
          <w:p>
            <w:pPr>
              <w:spacing w:line="300" w:lineRule="exact"/>
              <w:jc w:val="right"/>
              <w:rPr>
                <w:rFonts w:ascii="方正书宋_GBK" w:hAnsi="Times New Roman" w:eastAsia="方正书宋_GBK" w:cs="Times New Roman"/>
                <w:b/>
                <w:szCs w:val="24"/>
              </w:rPr>
            </w:pPr>
          </w:p>
        </w:tc>
        <w:tc>
          <w:tcPr>
            <w:tcW w:w="962" w:type="dxa"/>
            <w:vAlign w:val="center"/>
          </w:tcPr>
          <w:p>
            <w:pPr>
              <w:spacing w:line="300" w:lineRule="exact"/>
              <w:jc w:val="right"/>
              <w:rPr>
                <w:rFonts w:ascii="方正书宋_GBK" w:hAnsi="Times New Roman" w:eastAsia="方正书宋_GBK" w:cs="Times New Roman"/>
                <w:b/>
                <w:szCs w:val="24"/>
              </w:rPr>
            </w:pPr>
          </w:p>
        </w:tc>
        <w:tc>
          <w:tcPr>
            <w:tcW w:w="962" w:type="dxa"/>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color w:val="auto"/>
          <w:sz w:val="32"/>
          <w:szCs w:val="32"/>
        </w:rPr>
      </w:pPr>
      <w:r>
        <w:rPr>
          <w:rFonts w:hint="eastAsia" w:ascii="仿宋_GB2312" w:hAnsi="黑体" w:eastAsia="仿宋_GB2312" w:cs="Times New Roman"/>
          <w:sz w:val="32"/>
          <w:szCs w:val="32"/>
          <w:lang w:eastAsia="zh-CN"/>
        </w:rPr>
        <w:t>政协霸州市委员会</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130.98</w:t>
      </w:r>
      <w:r>
        <w:rPr>
          <w:rFonts w:hint="eastAsia" w:ascii="仿宋_GB2312" w:hAnsi="黑体" w:eastAsia="仿宋_GB2312" w:cs="Times New Roman"/>
          <w:sz w:val="32"/>
          <w:szCs w:val="32"/>
        </w:rPr>
        <w:t>万元（详见下表）。</w:t>
      </w:r>
      <w:r>
        <w:rPr>
          <w:rFonts w:hint="eastAsia" w:ascii="仿宋_GB2312" w:hAnsi="黑体" w:eastAsia="仿宋_GB2312" w:cs="Times New Roman"/>
          <w:b/>
          <w:color w:val="auto"/>
          <w:sz w:val="32"/>
          <w:szCs w:val="32"/>
        </w:rPr>
        <w:t>本年度各单位（处室）拟购置固定资产总额</w:t>
      </w:r>
      <w:r>
        <w:rPr>
          <w:rFonts w:ascii="仿宋_GB2312" w:hAnsi="黑体" w:eastAsia="仿宋_GB2312" w:cs="Times New Roman"/>
          <w:b/>
          <w:color w:val="auto"/>
          <w:sz w:val="32"/>
          <w:szCs w:val="32"/>
        </w:rPr>
        <w:t>为</w:t>
      </w:r>
      <w:r>
        <w:rPr>
          <w:rFonts w:hint="eastAsia" w:ascii="仿宋_GB2312" w:hAnsi="黑体" w:eastAsia="仿宋_GB2312" w:cs="Times New Roman"/>
          <w:b/>
          <w:color w:val="auto"/>
          <w:sz w:val="32"/>
          <w:szCs w:val="32"/>
          <w:lang w:val="en-US" w:eastAsia="zh-CN"/>
        </w:rPr>
        <w:t>1.7</w:t>
      </w:r>
      <w:r>
        <w:rPr>
          <w:rFonts w:ascii="仿宋_GB2312" w:hAnsi="黑体" w:eastAsia="仿宋_GB2312" w:cs="Times New Roman"/>
          <w:b/>
          <w:color w:val="auto"/>
          <w:sz w:val="32"/>
          <w:szCs w:val="32"/>
        </w:rPr>
        <w:t>万元</w:t>
      </w:r>
      <w:r>
        <w:rPr>
          <w:rFonts w:hint="eastAsia" w:ascii="仿宋_GB2312" w:hAnsi="黑体" w:eastAsia="仿宋_GB2312" w:cs="Times New Roman"/>
          <w:b/>
          <w:color w:val="auto"/>
          <w:sz w:val="32"/>
          <w:szCs w:val="32"/>
        </w:rPr>
        <w:t>，主要为计算机设备、</w:t>
      </w:r>
      <w:r>
        <w:rPr>
          <w:rFonts w:hint="eastAsia" w:ascii="仿宋_GB2312" w:hAnsi="黑体" w:eastAsia="仿宋_GB2312" w:cs="Times New Roman"/>
          <w:b/>
          <w:color w:val="auto"/>
          <w:sz w:val="32"/>
          <w:szCs w:val="32"/>
          <w:lang w:eastAsia="zh-CN"/>
        </w:rPr>
        <w:t>复印</w:t>
      </w:r>
      <w:r>
        <w:rPr>
          <w:rFonts w:hint="eastAsia" w:ascii="仿宋_GB2312" w:hAnsi="黑体" w:eastAsia="仿宋_GB2312" w:cs="Times New Roman"/>
          <w:b/>
          <w:color w:val="auto"/>
          <w:sz w:val="32"/>
          <w:szCs w:val="32"/>
        </w:rPr>
        <w:t>打印设备等，已列入政府采购预算，详见政府采购</w:t>
      </w:r>
      <w:r>
        <w:rPr>
          <w:rFonts w:ascii="仿宋_GB2312" w:hAnsi="黑体" w:eastAsia="仿宋_GB2312" w:cs="Times New Roman"/>
          <w:b/>
          <w:color w:val="auto"/>
          <w:sz w:val="32"/>
          <w:szCs w:val="32"/>
        </w:rPr>
        <w:t>预算表</w:t>
      </w:r>
      <w:r>
        <w:rPr>
          <w:rFonts w:hint="eastAsia" w:ascii="仿宋_GB2312" w:hAnsi="黑体" w:eastAsia="仿宋_GB2312" w:cs="Times New Roman"/>
          <w:b/>
          <w:color w:val="auto"/>
          <w:sz w:val="32"/>
          <w:szCs w:val="32"/>
        </w:rPr>
        <w:t>。</w:t>
      </w:r>
    </w:p>
    <w:tbl>
      <w:tblPr>
        <w:tblStyle w:val="6"/>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9"/>
        <w:gridCol w:w="3390"/>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cs="宋体"/>
                <w:b/>
                <w:bCs/>
                <w:kern w:val="0"/>
                <w:sz w:val="32"/>
                <w:szCs w:val="32"/>
                <w:lang w:eastAsia="zh-CN"/>
              </w:rPr>
              <w:t>政协霸州市委员会</w:t>
            </w:r>
            <w:r>
              <w:rPr>
                <w:rFonts w:hint="eastAsia" w:ascii="宋体" w:hAnsi="宋体" w:eastAsia="宋体" w:cs="宋体"/>
                <w:b/>
                <w:bCs/>
                <w:kern w:val="0"/>
                <w:sz w:val="32"/>
                <w:szCs w:val="32"/>
              </w:rPr>
              <w:t>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cs="宋体"/>
                <w:kern w:val="0"/>
                <w:sz w:val="22"/>
                <w:lang w:val="en-US" w:eastAsia="zh-CN"/>
              </w:rPr>
              <w:t>102001政协霸州市委员会</w:t>
            </w:r>
            <w:r>
              <w:rPr>
                <w:rFonts w:hint="eastAsia" w:ascii="宋体" w:hAnsi="宋体" w:eastAsia="宋体" w:cs="宋体"/>
                <w:kern w:val="0"/>
                <w:sz w:val="22"/>
                <w:lang w:val="en-US" w:eastAsia="zh-CN"/>
              </w:rPr>
              <w:t>本级</w:t>
            </w:r>
          </w:p>
        </w:tc>
        <w:tc>
          <w:tcPr>
            <w:tcW w:w="5103" w:type="dxa"/>
            <w:tcBorders>
              <w:top w:val="nil"/>
              <w:left w:val="nil"/>
              <w:bottom w:val="nil"/>
              <w:right w:val="nil"/>
            </w:tcBorders>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49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3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98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3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98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3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608.38</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98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3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608.38</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98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3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4</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87.28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98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3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98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39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178</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43.70</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w:t>
      </w:r>
      <w:r>
        <w:rPr>
          <w:rFonts w:hint="eastAsia" w:ascii="仿宋_GB2312" w:hAnsi="黑体" w:eastAsia="仿宋_GB2312" w:cs="Times New Roman"/>
          <w:sz w:val="32"/>
          <w:szCs w:val="32"/>
          <w:lang w:eastAsia="zh-CN"/>
        </w:rPr>
        <w:t>是指各部门的公用经费，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D0A27D4"/>
    <w:rsid w:val="75584D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link w:val="13"/>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2"/>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toc 1"/>
    <w:basedOn w:val="1"/>
    <w:next w:val="1"/>
    <w:uiPriority w:val="0"/>
    <w:rPr>
      <w:rFonts w:ascii="Times New Roman" w:hAnsi="Times New Roman" w:eastAsia="宋体" w:cs="Times New Roman"/>
      <w:szCs w:val="24"/>
    </w:rPr>
  </w:style>
  <w:style w:type="paragraph" w:styleId="5">
    <w:name w:val="toc 2"/>
    <w:basedOn w:val="1"/>
    <w:next w:val="1"/>
    <w:uiPriority w:val="0"/>
    <w:pPr>
      <w:ind w:left="420" w:leftChars="200"/>
    </w:pPr>
    <w:rPr>
      <w:rFonts w:ascii="Times New Roman" w:hAnsi="Times New Roman" w:eastAsia="宋体" w:cs="Times New Roman"/>
      <w:szCs w:val="24"/>
    </w:rPr>
  </w:style>
  <w:style w:type="paragraph" w:customStyle="1" w:styleId="8">
    <w:name w:val="批注框文本 Char Char"/>
    <w:basedOn w:val="1"/>
    <w:link w:val="14"/>
    <w:uiPriority w:val="0"/>
    <w:rPr>
      <w:sz w:val="18"/>
      <w:szCs w:val="18"/>
    </w:rPr>
  </w:style>
  <w:style w:type="paragraph" w:customStyle="1" w:styleId="9">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
    <w:name w:val="Char"/>
    <w:basedOn w:val="1"/>
    <w:uiPriority w:val="0"/>
    <w:rPr>
      <w:rFonts w:ascii="Tahoma" w:hAnsi="Tahoma" w:eastAsia="宋体" w:cs="Times New Roman"/>
      <w:sz w:val="24"/>
      <w:szCs w:val="24"/>
    </w:rPr>
  </w:style>
  <w:style w:type="character" w:customStyle="1" w:styleId="11">
    <w:name w:val="page number"/>
    <w:basedOn w:val="7"/>
    <w:uiPriority w:val="0"/>
  </w:style>
  <w:style w:type="character" w:customStyle="1" w:styleId="12">
    <w:name w:val="页眉 字符"/>
    <w:basedOn w:val="7"/>
    <w:link w:val="3"/>
    <w:semiHidden/>
    <w:uiPriority w:val="0"/>
    <w:rPr>
      <w:rFonts w:ascii="Times New Roman" w:hAnsi="Times New Roman" w:eastAsia="宋体" w:cs="Times New Roman"/>
      <w:sz w:val="18"/>
      <w:szCs w:val="18"/>
    </w:rPr>
  </w:style>
  <w:style w:type="character" w:customStyle="1" w:styleId="13">
    <w:name w:val="页脚 字符"/>
    <w:basedOn w:val="7"/>
    <w:link w:val="2"/>
    <w:semiHidden/>
    <w:uiPriority w:val="0"/>
    <w:rPr>
      <w:rFonts w:ascii="Times New Roman" w:hAnsi="Times New Roman" w:eastAsia="宋体" w:cs="Times New Roman"/>
      <w:sz w:val="18"/>
      <w:szCs w:val="18"/>
    </w:rPr>
  </w:style>
  <w:style w:type="character" w:customStyle="1" w:styleId="14">
    <w:name w:val="批注框文本 字符"/>
    <w:basedOn w:val="7"/>
    <w:link w:val="8"/>
    <w:semiHidden/>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2017-10-27T14:45:00Z</dcterms:created>
  <dc:creator>guest</dc:creator>
  <cp:lastModifiedBy>Caiwushi</cp:lastModifiedBy>
  <cp:lastPrinted>2018-03-01T09:51:00Z</cp:lastPrinted>
  <dcterms:modified xsi:type="dcterms:W3CDTF">2022-09-08T07:50:04Z</dcterms:modified>
  <dc:title>zzzz</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